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A406" w14:textId="77777777" w:rsidR="00FB68ED" w:rsidRPr="008E0475" w:rsidRDefault="00FB68ED" w:rsidP="00FB68ED">
      <w:pPr>
        <w:pBdr>
          <w:top w:val="single" w:sz="12" w:space="1" w:color="438086"/>
        </w:pBdr>
        <w:spacing w:after="0" w:line="240" w:lineRule="auto"/>
        <w:rPr>
          <w:rFonts w:ascii="Calibri" w:eastAsia="Times New Roman" w:hAnsi="Calibri" w:cs="Times New Roman"/>
          <w:smallCaps/>
          <w:sz w:val="40"/>
          <w:szCs w:val="40"/>
        </w:rPr>
      </w:pPr>
      <w:r>
        <w:rPr>
          <w:rFonts w:ascii="Calibri" w:eastAsia="Times New Roman" w:hAnsi="Calibri" w:cs="Times New Roman"/>
          <w:smallCaps/>
          <w:sz w:val="40"/>
          <w:szCs w:val="40"/>
        </w:rPr>
        <w:t>Spring</w:t>
      </w:r>
      <w:r w:rsidRPr="008E0475">
        <w:rPr>
          <w:rFonts w:ascii="Calibri" w:eastAsia="Times New Roman" w:hAnsi="Calibri" w:cs="Times New Roman"/>
          <w:smallCaps/>
          <w:sz w:val="40"/>
          <w:szCs w:val="40"/>
        </w:rPr>
        <w:t xml:space="preserve"> 202</w:t>
      </w:r>
      <w:r>
        <w:rPr>
          <w:rFonts w:ascii="Calibri" w:eastAsia="Times New Roman" w:hAnsi="Calibri" w:cs="Times New Roman"/>
          <w:smallCaps/>
          <w:sz w:val="40"/>
          <w:szCs w:val="40"/>
        </w:rPr>
        <w:t>2</w:t>
      </w:r>
    </w:p>
    <w:p w14:paraId="5F69269C" w14:textId="77777777" w:rsidR="00FB68ED" w:rsidRPr="008E0475" w:rsidRDefault="00FB68ED" w:rsidP="00FB68ED">
      <w:pPr>
        <w:pBdr>
          <w:top w:val="single" w:sz="12" w:space="1" w:color="438086"/>
        </w:pBdr>
        <w:spacing w:after="0" w:line="240" w:lineRule="auto"/>
        <w:rPr>
          <w:rFonts w:ascii="Calibri" w:eastAsia="Times New Roman" w:hAnsi="Calibri" w:cs="Times New Roman"/>
          <w:smallCaps/>
          <w:sz w:val="40"/>
          <w:szCs w:val="40"/>
        </w:rPr>
      </w:pPr>
      <w:r w:rsidRPr="008E0475">
        <w:rPr>
          <w:rFonts w:ascii="Calibri" w:eastAsia="Times New Roman" w:hAnsi="Calibri" w:cs="Times New Roman"/>
          <w:smallCaps/>
          <w:sz w:val="40"/>
          <w:szCs w:val="40"/>
        </w:rPr>
        <w:t>Economics of Social Issues</w:t>
      </w:r>
    </w:p>
    <w:p w14:paraId="409B8C0F" w14:textId="55D68F37" w:rsidR="00FB68ED" w:rsidRPr="008E0475" w:rsidRDefault="00FB68ED" w:rsidP="00FB68ED">
      <w:pPr>
        <w:spacing w:after="40" w:line="240" w:lineRule="auto"/>
        <w:outlineLvl w:val="0"/>
        <w:rPr>
          <w:rFonts w:ascii="Calibri" w:eastAsia="Times New Roman" w:hAnsi="Calibri" w:cs="Times New Roman"/>
          <w:smallCaps/>
          <w:spacing w:val="5"/>
          <w:sz w:val="32"/>
          <w:szCs w:val="32"/>
        </w:rPr>
      </w:pPr>
      <w:r w:rsidRPr="008E0475">
        <w:rPr>
          <w:rFonts w:ascii="Calibri" w:eastAsia="Times New Roman" w:hAnsi="Calibri" w:cs="Times New Roman"/>
          <w:smallCaps/>
          <w:spacing w:val="5"/>
          <w:sz w:val="32"/>
          <w:szCs w:val="32"/>
        </w:rPr>
        <w:t>ECON: 101:001</w:t>
      </w:r>
    </w:p>
    <w:p w14:paraId="3082182B" w14:textId="7E6CD809" w:rsidR="00FB68ED" w:rsidRDefault="00FB68ED" w:rsidP="00A034AD">
      <w:pPr>
        <w:spacing w:after="40" w:line="240" w:lineRule="auto"/>
        <w:outlineLvl w:val="0"/>
        <w:rPr>
          <w:rFonts w:ascii="Calibri" w:eastAsia="Times New Roman" w:hAnsi="Calibri" w:cs="Times New Roman"/>
          <w:smallCaps/>
          <w:spacing w:val="5"/>
          <w:sz w:val="32"/>
          <w:szCs w:val="32"/>
        </w:rPr>
      </w:pPr>
      <w:proofErr w:type="gramStart"/>
      <w:r w:rsidRPr="008E0475">
        <w:rPr>
          <w:rFonts w:ascii="Calibri" w:eastAsia="Times New Roman" w:hAnsi="Calibri" w:cs="Times New Roman"/>
          <w:smallCaps/>
          <w:spacing w:val="5"/>
          <w:sz w:val="32"/>
          <w:szCs w:val="32"/>
        </w:rPr>
        <w:t xml:space="preserve">MWF  </w:t>
      </w:r>
      <w:r>
        <w:rPr>
          <w:rFonts w:ascii="Calibri" w:eastAsia="Times New Roman" w:hAnsi="Calibri" w:cs="Times New Roman"/>
          <w:smallCaps/>
          <w:spacing w:val="5"/>
          <w:sz w:val="32"/>
          <w:szCs w:val="32"/>
        </w:rPr>
        <w:t>11</w:t>
      </w:r>
      <w:r w:rsidRPr="008E0475">
        <w:rPr>
          <w:rFonts w:ascii="Calibri" w:eastAsia="Times New Roman" w:hAnsi="Calibri" w:cs="Times New Roman"/>
          <w:smallCaps/>
          <w:spacing w:val="5"/>
          <w:sz w:val="32"/>
          <w:szCs w:val="32"/>
        </w:rPr>
        <w:t>:00</w:t>
      </w:r>
      <w:proofErr w:type="gramEnd"/>
      <w:r w:rsidRPr="008E0475">
        <w:rPr>
          <w:rFonts w:ascii="Calibri" w:eastAsia="Times New Roman" w:hAnsi="Calibri" w:cs="Times New Roman"/>
          <w:smallCaps/>
          <w:spacing w:val="5"/>
          <w:sz w:val="32"/>
          <w:szCs w:val="32"/>
        </w:rPr>
        <w:t xml:space="preserve"> to </w:t>
      </w:r>
      <w:r>
        <w:rPr>
          <w:rFonts w:ascii="Calibri" w:eastAsia="Times New Roman" w:hAnsi="Calibri" w:cs="Times New Roman"/>
          <w:smallCaps/>
          <w:spacing w:val="5"/>
          <w:sz w:val="32"/>
          <w:szCs w:val="32"/>
        </w:rPr>
        <w:t>11</w:t>
      </w:r>
      <w:r w:rsidRPr="008E0475">
        <w:rPr>
          <w:rFonts w:ascii="Calibri" w:eastAsia="Times New Roman" w:hAnsi="Calibri" w:cs="Times New Roman"/>
          <w:smallCaps/>
          <w:spacing w:val="5"/>
          <w:sz w:val="32"/>
          <w:szCs w:val="32"/>
        </w:rPr>
        <w:t>:50</w:t>
      </w:r>
      <w:r>
        <w:rPr>
          <w:rFonts w:ascii="Calibri" w:eastAsia="Times New Roman" w:hAnsi="Calibri" w:cs="Times New Roman"/>
          <w:smallCaps/>
          <w:spacing w:val="5"/>
          <w:sz w:val="32"/>
          <w:szCs w:val="32"/>
        </w:rPr>
        <w:t>a</w:t>
      </w:r>
      <w:r w:rsidRPr="008E0475">
        <w:rPr>
          <w:rFonts w:ascii="Calibri" w:eastAsia="Times New Roman" w:hAnsi="Calibri" w:cs="Times New Roman"/>
          <w:smallCaps/>
          <w:spacing w:val="5"/>
          <w:sz w:val="32"/>
          <w:szCs w:val="32"/>
        </w:rPr>
        <w:t xml:space="preserve">m </w:t>
      </w:r>
      <w:r>
        <w:rPr>
          <w:rFonts w:ascii="Calibri" w:eastAsia="Times New Roman" w:hAnsi="Calibri" w:cs="Times New Roman"/>
          <w:smallCaps/>
          <w:spacing w:val="5"/>
          <w:sz w:val="32"/>
          <w:szCs w:val="32"/>
        </w:rPr>
        <w:t>PHYSL</w:t>
      </w:r>
      <w:r w:rsidRPr="008E0475">
        <w:rPr>
          <w:rFonts w:ascii="Calibri" w:eastAsia="Times New Roman" w:hAnsi="Calibri" w:cs="Times New Roman"/>
          <w:smallCaps/>
          <w:spacing w:val="5"/>
          <w:sz w:val="32"/>
          <w:szCs w:val="32"/>
        </w:rPr>
        <w:t xml:space="preserve"> Building </w:t>
      </w:r>
      <w:r>
        <w:rPr>
          <w:rFonts w:ascii="Calibri" w:eastAsia="Times New Roman" w:hAnsi="Calibri" w:cs="Times New Roman"/>
          <w:smallCaps/>
          <w:spacing w:val="5"/>
          <w:sz w:val="32"/>
          <w:szCs w:val="32"/>
        </w:rPr>
        <w:t>243</w:t>
      </w:r>
    </w:p>
    <w:p w14:paraId="084587E0" w14:textId="77777777" w:rsidR="00A034AD" w:rsidRPr="00A034AD" w:rsidRDefault="00A034AD" w:rsidP="00A034AD">
      <w:pPr>
        <w:spacing w:after="40" w:line="240" w:lineRule="auto"/>
        <w:outlineLvl w:val="0"/>
        <w:rPr>
          <w:rFonts w:ascii="Calibri" w:eastAsia="Times New Roman" w:hAnsi="Calibri" w:cs="Times New Roman"/>
          <w:smallCaps/>
          <w:spacing w:val="5"/>
          <w:sz w:val="32"/>
          <w:szCs w:val="32"/>
        </w:rPr>
      </w:pPr>
    </w:p>
    <w:p w14:paraId="09E60856" w14:textId="77777777" w:rsidR="00FB68ED" w:rsidRPr="008E0475" w:rsidRDefault="00FB68ED" w:rsidP="00FB68ED">
      <w:pPr>
        <w:spacing w:line="240" w:lineRule="auto"/>
        <w:rPr>
          <w:rFonts w:ascii="Calibri" w:eastAsia="Times New Roman" w:hAnsi="Calibri" w:cs="Times New Roman"/>
          <w:sz w:val="32"/>
          <w:szCs w:val="32"/>
        </w:rPr>
      </w:pPr>
      <w:r w:rsidRPr="008E0475">
        <w:rPr>
          <w:rFonts w:ascii="Calibri" w:eastAsia="Times New Roman" w:hAnsi="Calibri" w:cs="Times New Roman"/>
          <w:sz w:val="32"/>
          <w:szCs w:val="32"/>
        </w:rPr>
        <w:t xml:space="preserve">Instructor: </w:t>
      </w:r>
      <w:r>
        <w:rPr>
          <w:rFonts w:ascii="Calibri" w:eastAsia="Times New Roman" w:hAnsi="Calibri" w:cs="Times New Roman"/>
          <w:sz w:val="32"/>
          <w:szCs w:val="32"/>
        </w:rPr>
        <w:t>Kenese Io</w:t>
      </w:r>
    </w:p>
    <w:p w14:paraId="58DA6F22" w14:textId="77777777" w:rsidR="00FB68ED" w:rsidRPr="008E0475" w:rsidRDefault="00FB68ED" w:rsidP="00FB68ED">
      <w:pPr>
        <w:spacing w:line="240" w:lineRule="auto"/>
        <w:rPr>
          <w:rFonts w:ascii="Calibri" w:eastAsia="Times New Roman" w:hAnsi="Calibri" w:cs="Times New Roman"/>
          <w:sz w:val="32"/>
          <w:szCs w:val="32"/>
        </w:rPr>
      </w:pPr>
      <w:r w:rsidRPr="008E0475">
        <w:rPr>
          <w:rFonts w:ascii="Calibri" w:eastAsia="Times New Roman" w:hAnsi="Calibri" w:cs="Times New Roman"/>
          <w:sz w:val="32"/>
          <w:szCs w:val="32"/>
        </w:rPr>
        <w:t>Email:</w:t>
      </w:r>
      <w:r>
        <w:rPr>
          <w:rFonts w:ascii="Calibri" w:eastAsia="Times New Roman" w:hAnsi="Calibri" w:cs="Times New Roman"/>
        </w:rPr>
        <w:t xml:space="preserve"> </w:t>
      </w:r>
      <w:hyperlink r:id="rId8" w:history="1">
        <w:r w:rsidRPr="008E0475">
          <w:rPr>
            <w:rStyle w:val="Hyperlink"/>
            <w:rFonts w:ascii="Calibri" w:eastAsia="Times New Roman" w:hAnsi="Calibri" w:cs="Times New Roman"/>
          </w:rPr>
          <w:t>mailto:kenese@colostate.edu</w:t>
        </w:r>
      </w:hyperlink>
    </w:p>
    <w:p w14:paraId="4EE6456A" w14:textId="67D4A6A3" w:rsidR="00FB68ED" w:rsidRDefault="00FB68ED" w:rsidP="00FB68ED">
      <w:pPr>
        <w:spacing w:line="240" w:lineRule="auto"/>
        <w:rPr>
          <w:rFonts w:ascii="Calibri" w:eastAsia="Times New Roman" w:hAnsi="Calibri" w:cs="Times New Roman"/>
          <w:sz w:val="32"/>
          <w:szCs w:val="32"/>
        </w:rPr>
      </w:pPr>
      <w:r w:rsidRPr="008E0475">
        <w:rPr>
          <w:rFonts w:ascii="Calibri" w:eastAsia="Times New Roman" w:hAnsi="Calibri" w:cs="Times New Roman"/>
          <w:sz w:val="32"/>
          <w:szCs w:val="32"/>
        </w:rPr>
        <w:t xml:space="preserve">Office: </w:t>
      </w:r>
      <w:r w:rsidRPr="00C760D5">
        <w:rPr>
          <w:rFonts w:ascii="Calibri" w:eastAsia="Times New Roman" w:hAnsi="Calibri" w:cs="Times New Roman"/>
          <w:sz w:val="32"/>
          <w:szCs w:val="32"/>
        </w:rPr>
        <w:t>Clark Hall C309E</w:t>
      </w:r>
      <w:r>
        <w:rPr>
          <w:rFonts w:ascii="Calibri" w:eastAsia="Times New Roman" w:hAnsi="Calibri" w:cs="Times New Roman"/>
          <w:sz w:val="32"/>
          <w:szCs w:val="32"/>
        </w:rPr>
        <w:t xml:space="preserve"> </w:t>
      </w:r>
    </w:p>
    <w:p w14:paraId="78457D1F" w14:textId="382B066B" w:rsidR="00802374" w:rsidRDefault="0092299C" w:rsidP="00FB68ED">
      <w:pPr>
        <w:spacing w:line="240" w:lineRule="auto"/>
        <w:rPr>
          <w:rFonts w:ascii="Calibri" w:eastAsia="Times New Roman" w:hAnsi="Calibri" w:cs="Times New Roman"/>
          <w:sz w:val="32"/>
          <w:szCs w:val="32"/>
        </w:rPr>
      </w:pPr>
      <w:r>
        <w:rPr>
          <w:rFonts w:ascii="Calibri" w:eastAsia="Times New Roman" w:hAnsi="Calibri" w:cs="Times New Roman"/>
          <w:sz w:val="32"/>
          <w:szCs w:val="32"/>
        </w:rPr>
        <w:t xml:space="preserve">Office Hours: </w:t>
      </w:r>
      <w:r w:rsidR="00990A26">
        <w:rPr>
          <w:rFonts w:ascii="Calibri" w:eastAsia="Times New Roman" w:hAnsi="Calibri" w:cs="Times New Roman"/>
          <w:sz w:val="32"/>
          <w:szCs w:val="32"/>
        </w:rPr>
        <w:t>1</w:t>
      </w:r>
      <w:r>
        <w:rPr>
          <w:rFonts w:ascii="Calibri" w:eastAsia="Times New Roman" w:hAnsi="Calibri" w:cs="Times New Roman"/>
          <w:sz w:val="32"/>
          <w:szCs w:val="32"/>
        </w:rPr>
        <w:t>:</w:t>
      </w:r>
      <w:r w:rsidR="00990A26">
        <w:rPr>
          <w:rFonts w:ascii="Calibri" w:eastAsia="Times New Roman" w:hAnsi="Calibri" w:cs="Times New Roman"/>
          <w:sz w:val="32"/>
          <w:szCs w:val="32"/>
        </w:rPr>
        <w:t>00</w:t>
      </w:r>
      <w:r w:rsidR="00A57191">
        <w:rPr>
          <w:rFonts w:ascii="Calibri" w:eastAsia="Times New Roman" w:hAnsi="Calibri" w:cs="Times New Roman"/>
          <w:sz w:val="32"/>
          <w:szCs w:val="32"/>
        </w:rPr>
        <w:t xml:space="preserve"> – 2:</w:t>
      </w:r>
      <w:r w:rsidR="00990A26">
        <w:rPr>
          <w:rFonts w:ascii="Calibri" w:eastAsia="Times New Roman" w:hAnsi="Calibri" w:cs="Times New Roman"/>
          <w:sz w:val="32"/>
          <w:szCs w:val="32"/>
        </w:rPr>
        <w:t>3</w:t>
      </w:r>
      <w:r w:rsidR="00A57191">
        <w:rPr>
          <w:rFonts w:ascii="Calibri" w:eastAsia="Times New Roman" w:hAnsi="Calibri" w:cs="Times New Roman"/>
          <w:sz w:val="32"/>
          <w:szCs w:val="32"/>
        </w:rPr>
        <w:t>0pm</w:t>
      </w:r>
      <w:r w:rsidR="00FB4E14">
        <w:rPr>
          <w:rFonts w:ascii="Calibri" w:eastAsia="Times New Roman" w:hAnsi="Calibri" w:cs="Times New Roman"/>
          <w:sz w:val="32"/>
          <w:szCs w:val="32"/>
        </w:rPr>
        <w:t xml:space="preserve"> Monday and Wednesday</w:t>
      </w:r>
      <w:r w:rsidR="00A57191">
        <w:rPr>
          <w:rFonts w:ascii="Calibri" w:eastAsia="Times New Roman" w:hAnsi="Calibri" w:cs="Times New Roman"/>
          <w:sz w:val="32"/>
          <w:szCs w:val="32"/>
        </w:rPr>
        <w:t xml:space="preserve"> </w:t>
      </w:r>
    </w:p>
    <w:p w14:paraId="798EE8B0" w14:textId="10599952" w:rsidR="00001157" w:rsidRDefault="00001157" w:rsidP="00FB68ED">
      <w:pPr>
        <w:spacing w:line="240" w:lineRule="auto"/>
        <w:rPr>
          <w:rFonts w:ascii="Calibri" w:eastAsia="Times New Roman" w:hAnsi="Calibri" w:cs="Times New Roman"/>
          <w:sz w:val="32"/>
          <w:szCs w:val="32"/>
        </w:rPr>
      </w:pPr>
      <w:r>
        <w:rPr>
          <w:rFonts w:ascii="Calibri" w:eastAsia="Times New Roman" w:hAnsi="Calibri" w:cs="Times New Roman"/>
          <w:sz w:val="32"/>
          <w:szCs w:val="32"/>
        </w:rPr>
        <w:t>GTA: Bhavya Sinha</w:t>
      </w:r>
    </w:p>
    <w:p w14:paraId="16557464" w14:textId="2137CEA9" w:rsidR="00990A26" w:rsidRDefault="00990A26" w:rsidP="00FB68ED">
      <w:pPr>
        <w:spacing w:line="240" w:lineRule="auto"/>
        <w:rPr>
          <w:rFonts w:ascii="Calibri" w:eastAsia="Times New Roman" w:hAnsi="Calibri" w:cs="Times New Roman"/>
          <w:sz w:val="32"/>
          <w:szCs w:val="32"/>
        </w:rPr>
      </w:pPr>
      <w:r>
        <w:rPr>
          <w:rFonts w:ascii="Calibri" w:eastAsia="Times New Roman" w:hAnsi="Calibri" w:cs="Times New Roman"/>
          <w:sz w:val="32"/>
          <w:szCs w:val="32"/>
        </w:rPr>
        <w:t>Office:</w:t>
      </w:r>
    </w:p>
    <w:p w14:paraId="55AE1334" w14:textId="7EE81E61" w:rsidR="00250198" w:rsidRDefault="00250198" w:rsidP="00FB68ED">
      <w:pPr>
        <w:spacing w:line="240" w:lineRule="auto"/>
        <w:rPr>
          <w:rFonts w:ascii="Calibri" w:eastAsia="Times New Roman" w:hAnsi="Calibri" w:cs="Times New Roman"/>
          <w:sz w:val="32"/>
          <w:szCs w:val="32"/>
        </w:rPr>
      </w:pPr>
      <w:r>
        <w:rPr>
          <w:rFonts w:ascii="Calibri" w:eastAsia="Times New Roman" w:hAnsi="Calibri" w:cs="Times New Roman"/>
          <w:sz w:val="32"/>
          <w:szCs w:val="32"/>
        </w:rPr>
        <w:t>Office Hours: 12:30-2:00pm Tuesday and Thursday</w:t>
      </w:r>
    </w:p>
    <w:p w14:paraId="6923DD96" w14:textId="14C616F1" w:rsidR="0059245F" w:rsidRDefault="00F6139A" w:rsidP="00FB68ED">
      <w:pPr>
        <w:spacing w:line="240" w:lineRule="auto"/>
        <w:rPr>
          <w:rFonts w:eastAsia="Times New Roman"/>
          <w:color w:val="000000"/>
          <w:sz w:val="24"/>
          <w:szCs w:val="24"/>
        </w:rPr>
      </w:pPr>
      <w:hyperlink r:id="rId9" w:history="1">
        <w:r w:rsidR="0059245F">
          <w:rPr>
            <w:rStyle w:val="Hyperlink"/>
            <w:rFonts w:eastAsia="Times New Roman"/>
            <w:sz w:val="24"/>
            <w:szCs w:val="24"/>
          </w:rPr>
          <w:t>https://zoom.us/j/98464287105?pwd=dnlucXhtYXFaUlVuV3I5cFE5YXBuZz09</w:t>
        </w:r>
      </w:hyperlink>
    </w:p>
    <w:p w14:paraId="113431A3" w14:textId="77777777" w:rsidR="00A034AD" w:rsidRDefault="00A034AD" w:rsidP="00A034AD">
      <w:pPr>
        <w:shd w:val="clear" w:color="auto" w:fill="FFFFFF"/>
        <w:rPr>
          <w:rFonts w:eastAsia="Times New Roman"/>
          <w:color w:val="000000"/>
          <w:sz w:val="24"/>
          <w:szCs w:val="24"/>
        </w:rPr>
      </w:pPr>
      <w:r>
        <w:rPr>
          <w:rFonts w:eastAsia="Times New Roman"/>
          <w:color w:val="000000"/>
          <w:sz w:val="24"/>
          <w:szCs w:val="24"/>
        </w:rPr>
        <w:t>ID: </w:t>
      </w:r>
      <w:r>
        <w:rPr>
          <w:rFonts w:ascii="Lato" w:eastAsia="Times New Roman" w:hAnsi="Lato"/>
          <w:color w:val="232333"/>
          <w:sz w:val="21"/>
          <w:szCs w:val="21"/>
          <w:shd w:val="clear" w:color="auto" w:fill="FFFFFF"/>
        </w:rPr>
        <w:t>984 6428 7105</w:t>
      </w:r>
    </w:p>
    <w:p w14:paraId="331179DA" w14:textId="7CA58DF7" w:rsidR="0059245F" w:rsidRPr="00A034AD" w:rsidRDefault="00A034AD" w:rsidP="00A034AD">
      <w:pPr>
        <w:shd w:val="clear" w:color="auto" w:fill="FFFFFF"/>
        <w:rPr>
          <w:rFonts w:eastAsia="Times New Roman"/>
          <w:color w:val="000000"/>
        </w:rPr>
      </w:pPr>
      <w:r>
        <w:rPr>
          <w:rFonts w:ascii="Lato" w:eastAsia="Times New Roman" w:hAnsi="Lato"/>
          <w:color w:val="000000"/>
          <w:sz w:val="21"/>
          <w:szCs w:val="21"/>
        </w:rPr>
        <w:t>Password: 100flowers</w:t>
      </w:r>
    </w:p>
    <w:p w14:paraId="2FF917B9" w14:textId="6D28A1FB" w:rsidR="00530B76" w:rsidRPr="009C0A6B" w:rsidRDefault="00530B76" w:rsidP="00530B76">
      <w:pPr>
        <w:pStyle w:val="Heading1"/>
      </w:pPr>
      <w:r>
        <w:t>Communication Policy</w:t>
      </w:r>
    </w:p>
    <w:p w14:paraId="0A56EC56" w14:textId="7FBCB50A" w:rsidR="00466E6C" w:rsidRPr="00DB0240" w:rsidRDefault="00530B76" w:rsidP="00530B76">
      <w:pPr>
        <w:rPr>
          <w:rFonts w:eastAsia="Times New Roman"/>
          <w:sz w:val="20"/>
          <w:szCs w:val="20"/>
        </w:rPr>
      </w:pPr>
      <w:r w:rsidRPr="00DB0240">
        <w:rPr>
          <w:rFonts w:eastAsia="Times New Roman"/>
          <w:sz w:val="20"/>
          <w:szCs w:val="20"/>
        </w:rPr>
        <w:t xml:space="preserve">I will respond to emails same day within normal business hours whenever possible, and within 24-36 hours at most. Please do not hesitate to reach out with any questions or concerns. </w:t>
      </w:r>
      <w:r w:rsidR="00466E6C" w:rsidRPr="00DB0240">
        <w:rPr>
          <w:sz w:val="20"/>
          <w:szCs w:val="20"/>
        </w:rPr>
        <w:tab/>
        <w:t xml:space="preserve">   </w:t>
      </w:r>
    </w:p>
    <w:p w14:paraId="66663539" w14:textId="772EADDB" w:rsidR="00665B51" w:rsidRPr="009C0A6B" w:rsidRDefault="00665B51" w:rsidP="00665B51">
      <w:pPr>
        <w:pStyle w:val="Heading1"/>
      </w:pPr>
      <w:r>
        <w:t>Course Description</w:t>
      </w:r>
    </w:p>
    <w:p w14:paraId="0C866D9C" w14:textId="77777777" w:rsidR="00530B76" w:rsidRDefault="00530B76" w:rsidP="00530B76">
      <w:pPr>
        <w:spacing w:after="0" w:line="240" w:lineRule="auto"/>
        <w:rPr>
          <w:sz w:val="20"/>
          <w:szCs w:val="20"/>
        </w:rPr>
      </w:pPr>
      <w:r w:rsidRPr="00DB0240">
        <w:rPr>
          <w:sz w:val="20"/>
          <w:szCs w:val="20"/>
        </w:rPr>
        <w:t>This course is designed as an introduction to both so-called mainstream and heterodox economic thinking, and how these theories can shed light on some of today’s most pressing issues.  Topics covered will include economic growth and stability, inequality, migration, international trade, and the economics of social policy issues such as health care.  The goal of this class is not to convince you that one side is right, but rather to give you the tools to critically analyze arguments related to contentious economic policy questions.</w:t>
      </w:r>
    </w:p>
    <w:p w14:paraId="65F7FAE7" w14:textId="77777777" w:rsidR="00EE5A19" w:rsidRDefault="00EE5A19" w:rsidP="00EE5A19">
      <w:pPr>
        <w:pStyle w:val="Heading1"/>
      </w:pPr>
      <w:r>
        <w:t>Course Objectives</w:t>
      </w:r>
      <w:r w:rsidRPr="009C0A6B">
        <w:t xml:space="preserve"> </w:t>
      </w:r>
    </w:p>
    <w:p w14:paraId="25AC81B0" w14:textId="77777777" w:rsidR="00EE5A19" w:rsidRPr="00DB0240" w:rsidRDefault="00EE5A19" w:rsidP="00530B76">
      <w:pPr>
        <w:spacing w:after="0" w:line="240" w:lineRule="auto"/>
        <w:rPr>
          <w:sz w:val="20"/>
          <w:szCs w:val="20"/>
        </w:rPr>
      </w:pPr>
    </w:p>
    <w:p w14:paraId="1C27C248" w14:textId="77777777" w:rsidR="00530B76" w:rsidRPr="00DB0240" w:rsidRDefault="00530B76" w:rsidP="00530B76">
      <w:pPr>
        <w:spacing w:after="0" w:line="240" w:lineRule="auto"/>
        <w:rPr>
          <w:rFonts w:eastAsia="Times New Roman" w:cstheme="minorHAnsi"/>
          <w:sz w:val="20"/>
          <w:szCs w:val="20"/>
        </w:rPr>
      </w:pPr>
      <w:r w:rsidRPr="00DB0240">
        <w:rPr>
          <w:rFonts w:eastAsia="Times New Roman" w:cstheme="minorHAnsi"/>
          <w:sz w:val="20"/>
          <w:szCs w:val="20"/>
        </w:rPr>
        <w:t>Upon the completion of this course, students will be able to:</w:t>
      </w:r>
    </w:p>
    <w:p w14:paraId="3C54F802" w14:textId="77777777" w:rsidR="00530B76" w:rsidRPr="00DB0240" w:rsidRDefault="00530B76" w:rsidP="00530B76">
      <w:pPr>
        <w:pStyle w:val="ListParagraph"/>
        <w:numPr>
          <w:ilvl w:val="0"/>
          <w:numId w:val="9"/>
        </w:numPr>
        <w:spacing w:after="100" w:afterAutospacing="1" w:line="240" w:lineRule="auto"/>
        <w:rPr>
          <w:rFonts w:eastAsia="Times New Roman" w:cstheme="minorHAnsi"/>
          <w:sz w:val="20"/>
          <w:szCs w:val="20"/>
        </w:rPr>
      </w:pPr>
      <w:r w:rsidRPr="00DB0240">
        <w:rPr>
          <w:rFonts w:eastAsia="Times New Roman" w:cstheme="minorHAnsi"/>
          <w:sz w:val="20"/>
          <w:szCs w:val="20"/>
        </w:rPr>
        <w:t>Analyze microeconomic public policy issues using supply and demand, as well as other economic models and tools.</w:t>
      </w:r>
    </w:p>
    <w:p w14:paraId="22BB32E1" w14:textId="77777777" w:rsidR="00530B76" w:rsidRPr="00DB0240" w:rsidRDefault="00530B76" w:rsidP="00530B76">
      <w:pPr>
        <w:pStyle w:val="ListParagraph"/>
        <w:numPr>
          <w:ilvl w:val="0"/>
          <w:numId w:val="9"/>
        </w:numPr>
        <w:spacing w:after="100" w:afterAutospacing="1" w:line="240" w:lineRule="auto"/>
        <w:rPr>
          <w:rFonts w:eastAsia="Times New Roman" w:cstheme="minorHAnsi"/>
          <w:sz w:val="20"/>
          <w:szCs w:val="20"/>
        </w:rPr>
      </w:pPr>
      <w:r w:rsidRPr="00DB0240">
        <w:rPr>
          <w:rFonts w:eastAsia="Times New Roman" w:cstheme="minorHAnsi"/>
          <w:sz w:val="20"/>
          <w:szCs w:val="20"/>
        </w:rPr>
        <w:lastRenderedPageBreak/>
        <w:t>Compare different economic systems and their market structures.</w:t>
      </w:r>
    </w:p>
    <w:p w14:paraId="029BA687" w14:textId="77777777" w:rsidR="00530B76" w:rsidRPr="00DB0240" w:rsidRDefault="00530B76" w:rsidP="00530B76">
      <w:pPr>
        <w:pStyle w:val="ListParagraph"/>
        <w:numPr>
          <w:ilvl w:val="0"/>
          <w:numId w:val="9"/>
        </w:numPr>
        <w:spacing w:after="100" w:afterAutospacing="1" w:line="240" w:lineRule="auto"/>
        <w:rPr>
          <w:rFonts w:eastAsia="Times New Roman" w:cstheme="minorHAnsi"/>
          <w:sz w:val="20"/>
          <w:szCs w:val="20"/>
        </w:rPr>
      </w:pPr>
      <w:r w:rsidRPr="00DB0240">
        <w:rPr>
          <w:rFonts w:eastAsia="Times New Roman" w:cstheme="minorHAnsi"/>
          <w:sz w:val="20"/>
          <w:szCs w:val="20"/>
        </w:rPr>
        <w:t>Explain and make comparisons of economic well-being across countries and over time.</w:t>
      </w:r>
    </w:p>
    <w:p w14:paraId="285032C8" w14:textId="77777777" w:rsidR="00530B76" w:rsidRPr="00DB0240" w:rsidRDefault="00530B76" w:rsidP="00530B76">
      <w:pPr>
        <w:pStyle w:val="ListParagraph"/>
        <w:numPr>
          <w:ilvl w:val="0"/>
          <w:numId w:val="9"/>
        </w:numPr>
        <w:spacing w:after="100" w:afterAutospacing="1" w:line="240" w:lineRule="auto"/>
        <w:rPr>
          <w:rFonts w:eastAsia="Times New Roman" w:cstheme="minorHAnsi"/>
          <w:sz w:val="20"/>
          <w:szCs w:val="20"/>
        </w:rPr>
      </w:pPr>
      <w:r w:rsidRPr="00DB0240">
        <w:rPr>
          <w:rFonts w:eastAsia="Times New Roman" w:cstheme="minorHAnsi"/>
          <w:sz w:val="20"/>
          <w:szCs w:val="20"/>
        </w:rPr>
        <w:t xml:space="preserve">Explore causes and effects of poverty and requisites for growth in developed and developing countries. </w:t>
      </w:r>
    </w:p>
    <w:p w14:paraId="27B8DCCE" w14:textId="77777777" w:rsidR="00530B76" w:rsidRPr="00DB0240" w:rsidRDefault="00530B76" w:rsidP="00530B76">
      <w:pPr>
        <w:pStyle w:val="ListParagraph"/>
        <w:numPr>
          <w:ilvl w:val="0"/>
          <w:numId w:val="9"/>
        </w:numPr>
        <w:spacing w:after="100" w:afterAutospacing="1" w:line="240" w:lineRule="auto"/>
        <w:rPr>
          <w:rFonts w:eastAsia="Times New Roman" w:cstheme="minorHAnsi"/>
          <w:sz w:val="20"/>
          <w:szCs w:val="20"/>
        </w:rPr>
      </w:pPr>
      <w:r w:rsidRPr="00DB0240">
        <w:rPr>
          <w:rFonts w:eastAsia="Times New Roman" w:cstheme="minorHAnsi"/>
          <w:sz w:val="20"/>
          <w:szCs w:val="20"/>
        </w:rPr>
        <w:t xml:space="preserve">Analyze macroeconomic policy issues related to growth, stability, and the environment. </w:t>
      </w:r>
    </w:p>
    <w:p w14:paraId="4951E096" w14:textId="2CD65871" w:rsidR="001560E1" w:rsidRPr="00DB0240" w:rsidRDefault="00530B76" w:rsidP="003C7F85">
      <w:pPr>
        <w:pStyle w:val="ListParagraph"/>
        <w:numPr>
          <w:ilvl w:val="0"/>
          <w:numId w:val="9"/>
        </w:numPr>
        <w:spacing w:after="100" w:afterAutospacing="1" w:line="240" w:lineRule="auto"/>
        <w:rPr>
          <w:rFonts w:eastAsia="Times New Roman" w:cstheme="minorHAnsi"/>
          <w:sz w:val="20"/>
          <w:szCs w:val="20"/>
        </w:rPr>
      </w:pPr>
      <w:r w:rsidRPr="00DB0240">
        <w:rPr>
          <w:rFonts w:eastAsia="Times New Roman" w:cstheme="minorHAnsi"/>
          <w:sz w:val="20"/>
          <w:szCs w:val="20"/>
        </w:rPr>
        <w:t xml:space="preserve">Assess academic and professional career paths within the field of economics. </w:t>
      </w:r>
    </w:p>
    <w:p w14:paraId="19251139" w14:textId="7C8C4E34" w:rsidR="00665B51" w:rsidRDefault="00665B51" w:rsidP="00665B51">
      <w:pPr>
        <w:pStyle w:val="Heading1"/>
      </w:pPr>
      <w:r w:rsidRPr="009C0A6B">
        <w:t xml:space="preserve">Course </w:t>
      </w:r>
      <w:r>
        <w:t>Prerequisites</w:t>
      </w:r>
    </w:p>
    <w:p w14:paraId="29F4E600" w14:textId="1C64B9AB" w:rsidR="003F6BD7" w:rsidRPr="00DB0240" w:rsidRDefault="00530B76" w:rsidP="00466E6C">
      <w:pPr>
        <w:rPr>
          <w:rFonts w:ascii="Calibri" w:hAnsi="Calibri"/>
          <w:sz w:val="20"/>
          <w:szCs w:val="20"/>
        </w:rPr>
      </w:pPr>
      <w:r w:rsidRPr="00DB0240">
        <w:rPr>
          <w:rFonts w:ascii="Calibri" w:hAnsi="Calibri"/>
          <w:sz w:val="20"/>
          <w:szCs w:val="20"/>
        </w:rPr>
        <w:t>None</w:t>
      </w:r>
    </w:p>
    <w:p w14:paraId="37A9527C" w14:textId="58C89B3B" w:rsidR="00665B51" w:rsidRDefault="00804A99" w:rsidP="00686341">
      <w:pPr>
        <w:pStyle w:val="Heading1"/>
      </w:pPr>
      <w:r>
        <w:t>Course Website</w:t>
      </w:r>
    </w:p>
    <w:p w14:paraId="3BB94BF6" w14:textId="02C3BD8F" w:rsidR="00686341" w:rsidRPr="00DB0240" w:rsidRDefault="00686341" w:rsidP="00DB0240">
      <w:pPr>
        <w:pStyle w:val="NoSpacing"/>
      </w:pPr>
      <w:r w:rsidRPr="00DB0240">
        <w:t xml:space="preserve">Canvas is our class website: </w:t>
      </w:r>
      <w:hyperlink r:id="rId10" w:history="1">
        <w:r w:rsidRPr="00DB0240">
          <w:rPr>
            <w:rStyle w:val="Hyperlink"/>
            <w:rFonts w:cstheme="minorHAnsi"/>
          </w:rPr>
          <w:t>http://info.canvas.colostate.edu</w:t>
        </w:r>
      </w:hyperlink>
      <w:r w:rsidRPr="00DB0240">
        <w:rPr>
          <w:rFonts w:cstheme="minorHAnsi"/>
        </w:rPr>
        <w:t>.</w:t>
      </w:r>
    </w:p>
    <w:p w14:paraId="4EA3FAC7" w14:textId="77777777" w:rsidR="00686341" w:rsidRPr="00DB0240" w:rsidRDefault="00686341" w:rsidP="00DB0240">
      <w:pPr>
        <w:pStyle w:val="NoSpacing"/>
        <w:numPr>
          <w:ilvl w:val="0"/>
          <w:numId w:val="5"/>
        </w:numPr>
      </w:pPr>
      <w:r w:rsidRPr="00DB0240">
        <w:t xml:space="preserve">Login using your Colorado State University </w:t>
      </w:r>
      <w:proofErr w:type="spellStart"/>
      <w:r w:rsidRPr="00DB0240">
        <w:t>eID</w:t>
      </w:r>
      <w:proofErr w:type="spellEnd"/>
      <w:r w:rsidRPr="00DB0240">
        <w:t xml:space="preserve"> and password</w:t>
      </w:r>
    </w:p>
    <w:p w14:paraId="03D8790A" w14:textId="01507D7A" w:rsidR="00686341" w:rsidRPr="00DB0240" w:rsidRDefault="00686341" w:rsidP="00DB0240">
      <w:pPr>
        <w:pStyle w:val="NoSpacing"/>
        <w:numPr>
          <w:ilvl w:val="0"/>
          <w:numId w:val="5"/>
        </w:numPr>
      </w:pPr>
      <w:r w:rsidRPr="00DB0240">
        <w:t xml:space="preserve">Under Course List, click </w:t>
      </w:r>
      <w:r w:rsidR="006E4320" w:rsidRPr="00DB0240">
        <w:t>on the relevant course</w:t>
      </w:r>
      <w:r w:rsidRPr="00DB0240">
        <w:t xml:space="preserve"> </w:t>
      </w:r>
    </w:p>
    <w:p w14:paraId="22A838D2" w14:textId="77777777" w:rsidR="00686341" w:rsidRPr="00DB0240" w:rsidRDefault="00686341" w:rsidP="00DB0240">
      <w:pPr>
        <w:pStyle w:val="NoSpacing"/>
        <w:numPr>
          <w:ilvl w:val="0"/>
          <w:numId w:val="5"/>
        </w:numPr>
      </w:pPr>
      <w:r w:rsidRPr="00DB0240">
        <w:t xml:space="preserve">Note: all email correspondence will be through your </w:t>
      </w:r>
      <w:r w:rsidRPr="00DB0240">
        <w:rPr>
          <w:b/>
        </w:rPr>
        <w:t>CSU rams email address</w:t>
      </w:r>
      <w:r w:rsidRPr="00DB0240">
        <w:t>.</w:t>
      </w:r>
    </w:p>
    <w:p w14:paraId="01E7FF78" w14:textId="7375D19B" w:rsidR="00665B51" w:rsidRPr="00DB0240" w:rsidRDefault="00301D5A" w:rsidP="00DB0240">
      <w:pPr>
        <w:pStyle w:val="NoSpacing"/>
        <w:numPr>
          <w:ilvl w:val="0"/>
          <w:numId w:val="5"/>
        </w:numPr>
      </w:pPr>
      <w:r w:rsidRPr="00DB0240">
        <w:t xml:space="preserve">Links to </w:t>
      </w:r>
      <w:r w:rsidR="00DB0240">
        <w:t>content quizzes, writing assignments and discussions</w:t>
      </w:r>
      <w:r w:rsidRPr="00DB0240">
        <w:t xml:space="preserve"> will be posted to Canvas. </w:t>
      </w:r>
    </w:p>
    <w:p w14:paraId="4C53C088" w14:textId="77777777" w:rsidR="00624363" w:rsidRDefault="00624363" w:rsidP="00624363">
      <w:pPr>
        <w:pStyle w:val="Heading1"/>
        <w:spacing w:line="240" w:lineRule="auto"/>
      </w:pPr>
      <w:r>
        <w:t>Instructional Methodology and Delivery</w:t>
      </w:r>
    </w:p>
    <w:p w14:paraId="321A8375" w14:textId="4AB0BE24" w:rsidR="005863FD" w:rsidRPr="00DB0240" w:rsidRDefault="00624363" w:rsidP="00DB0240">
      <w:pPr>
        <w:pStyle w:val="NoSpacing"/>
      </w:pPr>
      <w:r w:rsidRPr="00DB0240">
        <w:t xml:space="preserve">Class will be composed of lecture (might include power-points, worksheets, videos, news articles, etc.), </w:t>
      </w:r>
      <w:r w:rsidR="00530B76" w:rsidRPr="00DB0240">
        <w:t>Content Quizzes</w:t>
      </w:r>
      <w:r w:rsidR="003F6BD7" w:rsidRPr="00DB0240">
        <w:t xml:space="preserve"> at the end of each</w:t>
      </w:r>
      <w:r w:rsidR="00530B76" w:rsidRPr="00DB0240">
        <w:t xml:space="preserve"> two</w:t>
      </w:r>
      <w:r w:rsidR="003F6BD7" w:rsidRPr="00DB0240">
        <w:t xml:space="preserve"> module</w:t>
      </w:r>
      <w:r w:rsidR="00530B76" w:rsidRPr="00DB0240">
        <w:t>s</w:t>
      </w:r>
      <w:r w:rsidR="003F6BD7" w:rsidRPr="00DB0240">
        <w:t>, and two writing assignments</w:t>
      </w:r>
      <w:r w:rsidRPr="00DB0240">
        <w:t xml:space="preserve">. </w:t>
      </w:r>
      <w:r w:rsidR="00DB0240" w:rsidRPr="00DB0240">
        <w:t xml:space="preserve">About half of each class will cover content, and the other half will be discussion. </w:t>
      </w:r>
      <w:r w:rsidR="003F6BD7" w:rsidRPr="00DB0240">
        <w:t xml:space="preserve">Attendance is expected where reasonable. Please do not attend if you feel ill. </w:t>
      </w:r>
      <w:r w:rsidR="00E844D2" w:rsidRPr="00DB0240">
        <w:t xml:space="preserve">Short topic </w:t>
      </w:r>
      <w:r w:rsidR="003F6BD7" w:rsidRPr="00DB0240">
        <w:t xml:space="preserve">videos will be posted to Canvas </w:t>
      </w:r>
      <w:r w:rsidR="00DB0240" w:rsidRPr="00DB0240">
        <w:t>Modules</w:t>
      </w:r>
      <w:r w:rsidR="00530B76" w:rsidRPr="00DB0240">
        <w:t xml:space="preserve">, which cover the main test points from lecture. </w:t>
      </w:r>
    </w:p>
    <w:p w14:paraId="4D209FF2" w14:textId="7BE6EB69" w:rsidR="005863FD" w:rsidRDefault="005863FD" w:rsidP="005863FD">
      <w:pPr>
        <w:pStyle w:val="Heading1"/>
        <w:rPr>
          <w:rFonts w:eastAsia="Times New Roman"/>
        </w:rPr>
      </w:pPr>
      <w:r w:rsidRPr="00FC73BF">
        <w:rPr>
          <w:rFonts w:eastAsia="Times New Roman"/>
        </w:rPr>
        <w:t>Textbook / Course Readings</w:t>
      </w:r>
    </w:p>
    <w:p w14:paraId="64E219FF" w14:textId="50B44A55" w:rsidR="00530B76" w:rsidRPr="00DB0240" w:rsidRDefault="00530B76" w:rsidP="00530B76">
      <w:pPr>
        <w:rPr>
          <w:sz w:val="20"/>
          <w:szCs w:val="20"/>
        </w:rPr>
      </w:pPr>
      <w:r w:rsidRPr="00DB0240">
        <w:rPr>
          <w:sz w:val="20"/>
          <w:szCs w:val="20"/>
        </w:rPr>
        <w:t xml:space="preserve">This course is formatted as open source. All required readings are available online free of charge. Required readings will be drawn primarily from </w:t>
      </w:r>
      <w:hyperlink r:id="rId11" w:history="1">
        <w:r w:rsidRPr="00DB0240">
          <w:rPr>
            <w:rStyle w:val="Hyperlink"/>
            <w:sz w:val="20"/>
            <w:szCs w:val="20"/>
          </w:rPr>
          <w:t>OpenStax Microeconomics 2E</w:t>
        </w:r>
      </w:hyperlink>
      <w:r w:rsidRPr="00DB0240">
        <w:rPr>
          <w:sz w:val="20"/>
          <w:szCs w:val="20"/>
        </w:rPr>
        <w:t xml:space="preserve">, and </w:t>
      </w:r>
      <w:hyperlink r:id="rId12" w:history="1">
        <w:r w:rsidRPr="00DB0240">
          <w:rPr>
            <w:rStyle w:val="Hyperlink"/>
            <w:sz w:val="20"/>
            <w:szCs w:val="20"/>
          </w:rPr>
          <w:t>The Core Economics</w:t>
        </w:r>
      </w:hyperlink>
      <w:r w:rsidRPr="00DB0240">
        <w:rPr>
          <w:sz w:val="20"/>
          <w:szCs w:val="20"/>
        </w:rPr>
        <w:t>. There will also be weekly articles, websites, data, and other links posted in the Modules which are meant to inform and motivate discussion.</w:t>
      </w:r>
    </w:p>
    <w:p w14:paraId="6FD0E773" w14:textId="77777777" w:rsidR="00DB0240" w:rsidRDefault="00DB0240" w:rsidP="00DB0240">
      <w:pPr>
        <w:pStyle w:val="Heading1"/>
      </w:pPr>
      <w:r>
        <w:t>GT Pathways Requirements</w:t>
      </w:r>
    </w:p>
    <w:p w14:paraId="3C4C2482" w14:textId="77777777" w:rsidR="00DB0240" w:rsidRPr="00DB0240" w:rsidRDefault="00DB0240" w:rsidP="00DB0240">
      <w:pPr>
        <w:pStyle w:val="NoSpacing"/>
      </w:pPr>
      <w:r w:rsidRPr="00DB0240">
        <w:t>This course meets the </w:t>
      </w:r>
      <w:hyperlink r:id="rId13" w:history="1">
        <w:r w:rsidRPr="00DB0240">
          <w:rPr>
            <w:color w:val="1574AB"/>
          </w:rPr>
          <w:t>All-University Core Curriculum (AUCC)</w:t>
        </w:r>
      </w:hyperlink>
      <w:r w:rsidRPr="00DB0240">
        <w:t> requirements for Social/Behavioral Sciences (Category 3C) and is approved under </w:t>
      </w:r>
      <w:proofErr w:type="spellStart"/>
      <w:r w:rsidR="00751A76">
        <w:fldChar w:fldCharType="begin"/>
      </w:r>
      <w:r w:rsidR="00751A76">
        <w:instrText xml:space="preserve"> HYPERLINK "http://highered.colorado.gov/Academics/Transfers/gtPathways/curriculum.html" </w:instrText>
      </w:r>
      <w:r w:rsidR="00751A76">
        <w:fldChar w:fldCharType="separate"/>
      </w:r>
      <w:r w:rsidRPr="00DB0240">
        <w:rPr>
          <w:color w:val="1574AB"/>
        </w:rPr>
        <w:t>GTPathways</w:t>
      </w:r>
      <w:proofErr w:type="spellEnd"/>
      <w:r w:rsidR="00751A76">
        <w:rPr>
          <w:color w:val="1574AB"/>
        </w:rPr>
        <w:fldChar w:fldCharType="end"/>
      </w:r>
      <w:r w:rsidRPr="00DB0240">
        <w:t xml:space="preserve"> in the content area of Economic or Political Systems (GT-SS1).  </w:t>
      </w:r>
    </w:p>
    <w:p w14:paraId="50216146" w14:textId="77777777" w:rsidR="00DB0240" w:rsidRPr="00DB0240" w:rsidRDefault="00DB0240" w:rsidP="00DB0240">
      <w:pPr>
        <w:pStyle w:val="NoSpacing"/>
      </w:pPr>
    </w:p>
    <w:p w14:paraId="2B9D904D" w14:textId="77777777" w:rsidR="00DB0240" w:rsidRPr="00DB0240" w:rsidRDefault="00DB0240" w:rsidP="00DB0240">
      <w:pPr>
        <w:pStyle w:val="NoSpacing"/>
      </w:pPr>
      <w:r w:rsidRPr="00DB0240">
        <w:t xml:space="preserve">The Colorado Commission on Higher Education has approved this course for inclusion in the Guaranteed Transfer (GT) Pathways program in the GT-SS1 Category. For transferring students, successful completion with a minimum C‒ grade guarantees transfer and application of credit in this GT Pathways category. For more information on the GT Pathways program, go to </w:t>
      </w:r>
      <w:hyperlink r:id="rId14" w:history="1">
        <w:r w:rsidRPr="00DB0240">
          <w:rPr>
            <w:rStyle w:val="Hyperlink"/>
            <w:sz w:val="22"/>
            <w:szCs w:val="22"/>
          </w:rPr>
          <w:t>http://highered.colorado.gov/academics/transfers/gtpathways/curriculum.html</w:t>
        </w:r>
      </w:hyperlink>
      <w:r w:rsidRPr="00DB0240">
        <w:t xml:space="preserve"> </w:t>
      </w:r>
    </w:p>
    <w:p w14:paraId="56B59397" w14:textId="77777777" w:rsidR="00DB0240" w:rsidRPr="00DB0240" w:rsidRDefault="00DB0240" w:rsidP="00DB0240">
      <w:pPr>
        <w:pStyle w:val="NoSpacing"/>
      </w:pPr>
    </w:p>
    <w:p w14:paraId="0EEBFBD9" w14:textId="77777777" w:rsidR="00DB0240" w:rsidRPr="00DB0240" w:rsidRDefault="00DB0240" w:rsidP="00DB0240">
      <w:pPr>
        <w:pStyle w:val="NoSpacing"/>
      </w:pPr>
      <w:r w:rsidRPr="00DB0240">
        <w:t xml:space="preserve">Pursuant to this certification, students will learn, in this class, to: </w:t>
      </w:r>
    </w:p>
    <w:p w14:paraId="0E296E34" w14:textId="77777777" w:rsidR="00DB0240" w:rsidRPr="00DB0240" w:rsidRDefault="00DB0240" w:rsidP="00DB0240">
      <w:pPr>
        <w:pStyle w:val="NoSpacing"/>
      </w:pPr>
    </w:p>
    <w:p w14:paraId="66758779" w14:textId="77777777" w:rsidR="00DB0240" w:rsidRPr="00DB0240" w:rsidRDefault="00DB0240" w:rsidP="00DB0240">
      <w:pPr>
        <w:pStyle w:val="NoSpacing"/>
        <w:numPr>
          <w:ilvl w:val="0"/>
          <w:numId w:val="13"/>
        </w:numPr>
      </w:pPr>
      <w:r w:rsidRPr="00DB0240">
        <w:t xml:space="preserve">Demonstrate knowledge of economic or political systems. </w:t>
      </w:r>
    </w:p>
    <w:p w14:paraId="45DB0AD8" w14:textId="77777777" w:rsidR="00DB0240" w:rsidRPr="00DB0240" w:rsidRDefault="00DB0240" w:rsidP="00DB0240">
      <w:pPr>
        <w:pStyle w:val="NoSpacing"/>
        <w:numPr>
          <w:ilvl w:val="0"/>
          <w:numId w:val="13"/>
        </w:numPr>
      </w:pPr>
      <w:r w:rsidRPr="00DB0240">
        <w:t xml:space="preserve">Use the social sciences to analyze and interpret issues. </w:t>
      </w:r>
    </w:p>
    <w:p w14:paraId="7F3BCACB" w14:textId="77777777" w:rsidR="00DB0240" w:rsidRPr="00DB0240" w:rsidRDefault="00DB0240" w:rsidP="00DB0240">
      <w:pPr>
        <w:pStyle w:val="NoSpacing"/>
        <w:numPr>
          <w:ilvl w:val="0"/>
          <w:numId w:val="13"/>
        </w:numPr>
      </w:pPr>
      <w:r w:rsidRPr="00DB0240">
        <w:t xml:space="preserve">Explain diverse perspectives and groups. </w:t>
      </w:r>
    </w:p>
    <w:p w14:paraId="33DFD525" w14:textId="77777777" w:rsidR="00DB0240" w:rsidRPr="00DB0240" w:rsidRDefault="00DB0240" w:rsidP="00DB0240">
      <w:pPr>
        <w:pStyle w:val="NoSpacing"/>
        <w:numPr>
          <w:ilvl w:val="0"/>
          <w:numId w:val="13"/>
        </w:numPr>
      </w:pPr>
      <w:r w:rsidRPr="00DB0240">
        <w:t>Explore diverse perspectives.</w:t>
      </w:r>
    </w:p>
    <w:p w14:paraId="2D00A89C" w14:textId="77777777" w:rsidR="00DB0240" w:rsidRPr="00DB0240" w:rsidRDefault="00DB0240" w:rsidP="00DB0240">
      <w:pPr>
        <w:pStyle w:val="NoSpacing"/>
        <w:numPr>
          <w:ilvl w:val="0"/>
          <w:numId w:val="13"/>
        </w:numPr>
      </w:pPr>
      <w:r w:rsidRPr="00DB0240">
        <w:t>Recognize and explore various cultural identities, heritages, and important similarities and differences as depicted in the arts, or reflected in geography, or in economic or political systems.</w:t>
      </w:r>
    </w:p>
    <w:p w14:paraId="0D513D0B" w14:textId="77777777" w:rsidR="00DB0240" w:rsidRPr="00DB0240" w:rsidRDefault="00DB0240" w:rsidP="00DB0240">
      <w:pPr>
        <w:pStyle w:val="NoSpacing"/>
        <w:numPr>
          <w:ilvl w:val="0"/>
          <w:numId w:val="13"/>
        </w:numPr>
      </w:pPr>
      <w:r w:rsidRPr="00DB0240">
        <w:t>Explore interactions among groups and identities as relevant to the discipline.</w:t>
      </w:r>
    </w:p>
    <w:p w14:paraId="009F96B5" w14:textId="77777777" w:rsidR="00DB0240" w:rsidRPr="00DB0240" w:rsidRDefault="00DB0240" w:rsidP="00DB0240">
      <w:pPr>
        <w:pStyle w:val="NoSpacing"/>
      </w:pPr>
    </w:p>
    <w:p w14:paraId="05654AB7" w14:textId="77777777" w:rsidR="00DB0240" w:rsidRPr="00DB0240" w:rsidRDefault="00DB0240" w:rsidP="00DB0240">
      <w:pPr>
        <w:pStyle w:val="NoSpacing"/>
      </w:pPr>
      <w:r w:rsidRPr="00DB0240">
        <w:t xml:space="preserve">Furthermore, students in this course have the following Civic Engagement, Critical Thinking, Diversity &amp; Global Learning, and Written/Oral Communication student learning outcomes: </w:t>
      </w:r>
    </w:p>
    <w:p w14:paraId="19F0015C" w14:textId="77777777" w:rsidR="00DB0240" w:rsidRPr="00DB0240" w:rsidRDefault="00DB0240" w:rsidP="00DB0240">
      <w:pPr>
        <w:pStyle w:val="NoSpacing"/>
      </w:pPr>
    </w:p>
    <w:p w14:paraId="2770F236" w14:textId="77777777" w:rsidR="00DB0240" w:rsidRPr="00DB0240" w:rsidRDefault="00DB0240" w:rsidP="00DB0240">
      <w:pPr>
        <w:pStyle w:val="NoSpacing"/>
        <w:rPr>
          <w:rStyle w:val="Heading1Char"/>
          <w:b/>
          <w:bCs/>
          <w:sz w:val="22"/>
          <w:szCs w:val="22"/>
        </w:rPr>
      </w:pPr>
      <w:r w:rsidRPr="00DB0240">
        <w:t>GT Pathways Core Student Learning Outcomes Economic or Political Systems (GT-SS1)</w:t>
      </w:r>
    </w:p>
    <w:p w14:paraId="3308B646" w14:textId="77777777" w:rsidR="00DB0240" w:rsidRPr="00DB0240" w:rsidRDefault="00DB0240" w:rsidP="00DB0240">
      <w:pPr>
        <w:pStyle w:val="NoSpacing"/>
      </w:pPr>
    </w:p>
    <w:p w14:paraId="7045715F" w14:textId="77777777" w:rsidR="00DB0240" w:rsidRPr="00DB0240" w:rsidRDefault="00DB0240" w:rsidP="00DB0240">
      <w:pPr>
        <w:pStyle w:val="NoSpacing"/>
      </w:pPr>
      <w:r w:rsidRPr="00DB0240">
        <w:t xml:space="preserve">Civic Engagement </w:t>
      </w:r>
    </w:p>
    <w:p w14:paraId="331B3077" w14:textId="77777777" w:rsidR="00DB0240" w:rsidRPr="00DB0240" w:rsidRDefault="00DB0240" w:rsidP="00DB0240">
      <w:pPr>
        <w:pStyle w:val="NoSpacing"/>
        <w:numPr>
          <w:ilvl w:val="0"/>
          <w:numId w:val="14"/>
        </w:numPr>
      </w:pPr>
      <w:r w:rsidRPr="00DB0240">
        <w:t xml:space="preserve">Civic Knowledge:  a) Connect disciplinary knowledge to civic engagement through one’s own participation in civic life, politics, and/or government. </w:t>
      </w:r>
    </w:p>
    <w:p w14:paraId="351F0EE3" w14:textId="77777777" w:rsidR="00DB0240" w:rsidRPr="00DB0240" w:rsidRDefault="00DB0240" w:rsidP="00DB0240">
      <w:pPr>
        <w:pStyle w:val="NoSpacing"/>
      </w:pPr>
    </w:p>
    <w:p w14:paraId="038AE326" w14:textId="77777777" w:rsidR="00DB0240" w:rsidRPr="00DB0240" w:rsidRDefault="00DB0240" w:rsidP="00DB0240">
      <w:pPr>
        <w:pStyle w:val="NoSpacing"/>
      </w:pPr>
      <w:r w:rsidRPr="00DB0240">
        <w:t xml:space="preserve">Critical Thinking </w:t>
      </w:r>
    </w:p>
    <w:p w14:paraId="0238E3A1" w14:textId="77777777" w:rsidR="00DB0240" w:rsidRPr="00DB0240" w:rsidRDefault="00DB0240" w:rsidP="00DB0240">
      <w:pPr>
        <w:pStyle w:val="NoSpacing"/>
        <w:numPr>
          <w:ilvl w:val="0"/>
          <w:numId w:val="15"/>
        </w:numPr>
      </w:pPr>
      <w:r w:rsidRPr="00DB0240">
        <w:t xml:space="preserve">Explain an Issue: a) Use information to describe a problem or issue and/or articulate a question related to the topic. </w:t>
      </w:r>
    </w:p>
    <w:p w14:paraId="5B813B27" w14:textId="77777777" w:rsidR="00DB0240" w:rsidRPr="00DB0240" w:rsidRDefault="00DB0240" w:rsidP="00DB0240">
      <w:pPr>
        <w:pStyle w:val="NoSpacing"/>
        <w:numPr>
          <w:ilvl w:val="0"/>
          <w:numId w:val="15"/>
        </w:numPr>
      </w:pPr>
      <w:r w:rsidRPr="00DB0240">
        <w:t xml:space="preserve">Utilize Context: a) Evaluate the relevance of context when presenting a position. b) Identify assumptions. c) Analyze one’s own and others’ assumptions. </w:t>
      </w:r>
    </w:p>
    <w:p w14:paraId="07C732B2" w14:textId="77777777" w:rsidR="00DB0240" w:rsidRPr="00DB0240" w:rsidRDefault="00DB0240" w:rsidP="00DB0240">
      <w:pPr>
        <w:pStyle w:val="NoSpacing"/>
        <w:numPr>
          <w:ilvl w:val="0"/>
          <w:numId w:val="15"/>
        </w:numPr>
      </w:pPr>
      <w:r w:rsidRPr="00DB0240">
        <w:t>Understand Implications and Make Conclusions: a) Establish a conclusion that is tied to the range of information presented. b) Reflect on implications and consequences of stated conclusion.</w:t>
      </w:r>
    </w:p>
    <w:p w14:paraId="7FF093E0" w14:textId="77777777" w:rsidR="00DB0240" w:rsidRPr="00DB0240" w:rsidRDefault="00DB0240" w:rsidP="00DB0240">
      <w:pPr>
        <w:pStyle w:val="NoSpacing"/>
      </w:pPr>
    </w:p>
    <w:p w14:paraId="35B14990" w14:textId="77777777" w:rsidR="00DB0240" w:rsidRDefault="00DB0240" w:rsidP="00DB0240">
      <w:pPr>
        <w:pStyle w:val="NoSpacing"/>
      </w:pPr>
    </w:p>
    <w:p w14:paraId="4B6607F0" w14:textId="67049411" w:rsidR="00DB0240" w:rsidRPr="00DB0240" w:rsidRDefault="00DB0240" w:rsidP="00DB0240">
      <w:pPr>
        <w:pStyle w:val="NoSpacing"/>
      </w:pPr>
      <w:r w:rsidRPr="00DB0240">
        <w:t xml:space="preserve">Diversity &amp; Global Learning </w:t>
      </w:r>
    </w:p>
    <w:p w14:paraId="244B5CED" w14:textId="77777777" w:rsidR="00DB0240" w:rsidRPr="00DB0240" w:rsidRDefault="00DB0240" w:rsidP="00DB0240">
      <w:pPr>
        <w:pStyle w:val="NoSpacing"/>
        <w:numPr>
          <w:ilvl w:val="0"/>
          <w:numId w:val="16"/>
        </w:numPr>
      </w:pPr>
      <w:r w:rsidRPr="00DB0240">
        <w:t xml:space="preserve">Build Self-Awareness: a) Demonstrate how their own attitudes, behaviors, or beliefs compare or relate to those of other individuals, groups, communities, or cultures. </w:t>
      </w:r>
    </w:p>
    <w:p w14:paraId="7A38C8A9" w14:textId="77777777" w:rsidR="00DB0240" w:rsidRPr="00DB0240" w:rsidRDefault="00DB0240" w:rsidP="00DB0240">
      <w:pPr>
        <w:pStyle w:val="NoSpacing"/>
        <w:numPr>
          <w:ilvl w:val="0"/>
          <w:numId w:val="16"/>
        </w:numPr>
      </w:pPr>
      <w:r w:rsidRPr="00DB0240">
        <w:t xml:space="preserve">Examine Perspectives: a) Examine diverse perspectives when investigating social and behavioral topics within natural or human systems. </w:t>
      </w:r>
    </w:p>
    <w:p w14:paraId="6F76F00E" w14:textId="77777777" w:rsidR="00DB0240" w:rsidRPr="00DB0240" w:rsidRDefault="00DB0240" w:rsidP="00DB0240">
      <w:pPr>
        <w:pStyle w:val="NoSpacing"/>
        <w:numPr>
          <w:ilvl w:val="0"/>
          <w:numId w:val="16"/>
        </w:numPr>
      </w:pPr>
      <w:r w:rsidRPr="00DB0240">
        <w:t xml:space="preserve">Address Diversity: a) make connections between the </w:t>
      </w:r>
      <w:proofErr w:type="gramStart"/>
      <w:r w:rsidRPr="00DB0240">
        <w:t>world-views</w:t>
      </w:r>
      <w:proofErr w:type="gramEnd"/>
      <w:r w:rsidRPr="00DB0240">
        <w:t>, power structures, and experiences of individuals, groups, communities, or cultures, in historical or contemporary contexts.</w:t>
      </w:r>
    </w:p>
    <w:p w14:paraId="40E4423F" w14:textId="77777777" w:rsidR="00DB0240" w:rsidRPr="00DB0240" w:rsidRDefault="00DB0240" w:rsidP="00DB0240">
      <w:pPr>
        <w:pStyle w:val="NoSpacing"/>
      </w:pPr>
    </w:p>
    <w:p w14:paraId="0FCE39CA" w14:textId="77777777" w:rsidR="00DB0240" w:rsidRPr="00DB0240" w:rsidRDefault="00DB0240" w:rsidP="00DB0240">
      <w:pPr>
        <w:pStyle w:val="NoSpacing"/>
      </w:pPr>
      <w:r w:rsidRPr="00DB0240">
        <w:t xml:space="preserve">Written/Oral Communication </w:t>
      </w:r>
    </w:p>
    <w:p w14:paraId="758BB81F" w14:textId="77777777" w:rsidR="00DB0240" w:rsidRPr="00DB0240" w:rsidRDefault="00DB0240" w:rsidP="00DB0240">
      <w:pPr>
        <w:pStyle w:val="NoSpacing"/>
        <w:numPr>
          <w:ilvl w:val="0"/>
          <w:numId w:val="17"/>
        </w:numPr>
      </w:pPr>
      <w:r w:rsidRPr="00DB0240">
        <w:t xml:space="preserve">Develop Content and Message: a) Create and develop ideas within the context of the situation and the assigned task(s). </w:t>
      </w:r>
    </w:p>
    <w:p w14:paraId="0C2370E1" w14:textId="77777777" w:rsidR="00DB0240" w:rsidRPr="00DB0240" w:rsidRDefault="00DB0240" w:rsidP="00DB0240">
      <w:pPr>
        <w:pStyle w:val="NoSpacing"/>
        <w:numPr>
          <w:ilvl w:val="0"/>
          <w:numId w:val="17"/>
        </w:numPr>
      </w:pPr>
      <w:r w:rsidRPr="00DB0240">
        <w:t xml:space="preserve">Use Sources and Evidence: a) Critically read, evaluate, apply, and synthesize evidence and/or sources in support of a claim. </w:t>
      </w:r>
    </w:p>
    <w:p w14:paraId="46AE25B4" w14:textId="77777777" w:rsidR="00DB0240" w:rsidRPr="00DB0240" w:rsidRDefault="00DB0240" w:rsidP="00DB0240">
      <w:pPr>
        <w:pStyle w:val="NoSpacing"/>
        <w:numPr>
          <w:ilvl w:val="0"/>
          <w:numId w:val="17"/>
        </w:numPr>
      </w:pPr>
      <w:r w:rsidRPr="00DB0240">
        <w:t xml:space="preserve">Use language appropriate to the audience </w:t>
      </w:r>
    </w:p>
    <w:p w14:paraId="33A78960" w14:textId="77777777" w:rsidR="00880DA8" w:rsidRDefault="00880DA8" w:rsidP="00880DA8">
      <w:pPr>
        <w:pStyle w:val="Heading1"/>
      </w:pPr>
      <w:r>
        <w:t>Early Performance Feedback Program</w:t>
      </w:r>
    </w:p>
    <w:p w14:paraId="3D4DF594" w14:textId="77777777" w:rsidR="00880DA8" w:rsidRPr="00880DA8" w:rsidRDefault="00880DA8" w:rsidP="00DB0240">
      <w:pPr>
        <w:pStyle w:val="NoSpacing"/>
      </w:pPr>
      <w:r w:rsidRPr="00880DA8">
        <w:t>This course participates in the Early Performance Feedback (EPF) program.  New students often aren’t used to the university environment and expectations. They may misinterpret or miss important, even basic, cues about their performance early in their campus and classroom experience with the result that they may fall irrevocably behind in their classes. We know that feedback is an essential mechanism in the adjustment process. The Early Performance Feedback (EPF) program aims to:</w:t>
      </w:r>
    </w:p>
    <w:p w14:paraId="72D2FE7D" w14:textId="77777777" w:rsidR="00880DA8" w:rsidRPr="00880DA8" w:rsidRDefault="00880DA8" w:rsidP="00DB0240">
      <w:pPr>
        <w:pStyle w:val="NoSpacing"/>
      </w:pPr>
    </w:p>
    <w:p w14:paraId="2379E571" w14:textId="77777777" w:rsidR="00880DA8" w:rsidRPr="00880DA8" w:rsidRDefault="00880DA8" w:rsidP="00DB0240">
      <w:pPr>
        <w:pStyle w:val="NoSpacing"/>
        <w:numPr>
          <w:ilvl w:val="0"/>
          <w:numId w:val="5"/>
        </w:numPr>
      </w:pPr>
      <w:r w:rsidRPr="00880DA8">
        <w:t>Increase the level of feedback on academic performance for (particularly) first-year students.</w:t>
      </w:r>
    </w:p>
    <w:p w14:paraId="1663E669" w14:textId="77777777" w:rsidR="00880DA8" w:rsidRPr="00880DA8" w:rsidRDefault="00880DA8" w:rsidP="00DB0240">
      <w:pPr>
        <w:pStyle w:val="NoSpacing"/>
        <w:numPr>
          <w:ilvl w:val="0"/>
          <w:numId w:val="5"/>
        </w:numPr>
      </w:pPr>
      <w:r w:rsidRPr="00880DA8">
        <w:t>Powerfully communicate to students that early effort and performance matter.</w:t>
      </w:r>
    </w:p>
    <w:p w14:paraId="118B1321" w14:textId="77777777" w:rsidR="00880DA8" w:rsidRPr="00880DA8" w:rsidRDefault="00880DA8" w:rsidP="00DB0240">
      <w:pPr>
        <w:pStyle w:val="NoSpacing"/>
        <w:numPr>
          <w:ilvl w:val="0"/>
          <w:numId w:val="5"/>
        </w:numPr>
      </w:pPr>
      <w:r w:rsidRPr="00880DA8">
        <w:t>Connect students proactively to relevant academic support resources.</w:t>
      </w:r>
    </w:p>
    <w:p w14:paraId="1F698952" w14:textId="77777777" w:rsidR="00880DA8" w:rsidRPr="00880DA8" w:rsidRDefault="00880DA8" w:rsidP="00DB0240">
      <w:pPr>
        <w:pStyle w:val="NoSpacing"/>
        <w:numPr>
          <w:ilvl w:val="0"/>
          <w:numId w:val="5"/>
        </w:numPr>
      </w:pPr>
      <w:r w:rsidRPr="00880DA8">
        <w:t>Identify students early who may be encountering severe difficulties that require more intensive intervention.</w:t>
      </w:r>
    </w:p>
    <w:p w14:paraId="2EC5C856" w14:textId="77777777" w:rsidR="00880DA8" w:rsidRPr="00880DA8" w:rsidRDefault="00880DA8" w:rsidP="00DB0240">
      <w:pPr>
        <w:pStyle w:val="NoSpacing"/>
      </w:pPr>
    </w:p>
    <w:p w14:paraId="004D61A4" w14:textId="75AA3ED1" w:rsidR="00880DA8" w:rsidRPr="00880DA8" w:rsidRDefault="00880DA8" w:rsidP="00DB0240">
      <w:pPr>
        <w:pStyle w:val="NoSpacing"/>
      </w:pPr>
      <w:r w:rsidRPr="00880DA8">
        <w:t>Students who are not meeting expectations by week 5 of the semester will be contacted by the EPF team and invited to take advantage of resources on campus to help them turn things around, for example through a program called U-Turn.  For more information, see: </w:t>
      </w:r>
      <w:hyperlink r:id="rId15" w:history="1">
        <w:r w:rsidRPr="00880DA8">
          <w:rPr>
            <w:rStyle w:val="Hyperlink"/>
            <w:sz w:val="22"/>
            <w:szCs w:val="22"/>
          </w:rPr>
          <w:t>http://earlyperformance.colostate.edu/</w:t>
        </w:r>
      </w:hyperlink>
      <w:r w:rsidRPr="00880DA8">
        <w:t> </w:t>
      </w:r>
    </w:p>
    <w:p w14:paraId="054DE2E0" w14:textId="137E182E" w:rsidR="00C435F3" w:rsidRPr="00804A99" w:rsidRDefault="00624363" w:rsidP="00804A99">
      <w:pPr>
        <w:pStyle w:val="Heading1"/>
      </w:pPr>
      <w:r w:rsidRPr="00804A99">
        <w:lastRenderedPageBreak/>
        <w:t xml:space="preserve">Course </w:t>
      </w:r>
      <w:r w:rsidR="00282250">
        <w:t>Requirements</w:t>
      </w:r>
      <w:r w:rsidR="00665B51" w:rsidRPr="00804A99">
        <w:t xml:space="preserve"> and</w:t>
      </w:r>
      <w:r w:rsidR="00C435F3" w:rsidRPr="00804A99">
        <w:t xml:space="preserve"> </w:t>
      </w:r>
      <w:r w:rsidR="00CD43B6" w:rsidRPr="00804A99">
        <w:t>Grade Determination</w:t>
      </w:r>
      <w:r w:rsidR="00665B51" w:rsidRPr="00804A99">
        <w:t xml:space="preserve"> </w:t>
      </w:r>
    </w:p>
    <w:p w14:paraId="510CA276" w14:textId="512BD5A7" w:rsidR="00C7006B" w:rsidRDefault="00CD1F0D" w:rsidP="00DB0240">
      <w:pPr>
        <w:pStyle w:val="NoSpacing"/>
        <w:rPr>
          <w:lang w:val="en-GB"/>
        </w:rPr>
      </w:pPr>
      <w:r>
        <w:rPr>
          <w:lang w:val="en-GB"/>
        </w:rPr>
        <w:t xml:space="preserve"> </w:t>
      </w:r>
    </w:p>
    <w:tbl>
      <w:tblPr>
        <w:tblpPr w:leftFromText="180" w:rightFromText="180" w:vertAnchor="text" w:horzAnchor="margin" w:tblpY="90"/>
        <w:tblW w:w="0" w:type="auto"/>
        <w:tblLook w:val="01E0" w:firstRow="1" w:lastRow="1" w:firstColumn="1" w:lastColumn="1" w:noHBand="0" w:noVBand="0"/>
      </w:tblPr>
      <w:tblGrid>
        <w:gridCol w:w="3179"/>
        <w:gridCol w:w="1340"/>
        <w:gridCol w:w="1363"/>
        <w:gridCol w:w="1391"/>
        <w:gridCol w:w="1845"/>
      </w:tblGrid>
      <w:tr w:rsidR="003C7F85" w:rsidRPr="00DF7506" w14:paraId="21A58AFC" w14:textId="77777777" w:rsidTr="003C7F85">
        <w:trPr>
          <w:trHeight w:val="367"/>
        </w:trPr>
        <w:tc>
          <w:tcPr>
            <w:tcW w:w="3179" w:type="dxa"/>
            <w:tcBorders>
              <w:bottom w:val="single" w:sz="4" w:space="0" w:color="auto"/>
            </w:tcBorders>
            <w:vAlign w:val="center"/>
          </w:tcPr>
          <w:p w14:paraId="42EB5413" w14:textId="77777777" w:rsidR="003C7F85" w:rsidRPr="00DF7506" w:rsidRDefault="003C7F85" w:rsidP="003C7F85">
            <w:pPr>
              <w:pStyle w:val="BodyText"/>
              <w:ind w:right="118"/>
              <w:rPr>
                <w:rFonts w:ascii="Calibri" w:hAnsi="Calibri"/>
                <w:b/>
                <w:bCs/>
                <w:i/>
              </w:rPr>
            </w:pPr>
            <w:r w:rsidRPr="00DF7506">
              <w:rPr>
                <w:rFonts w:ascii="Calibri" w:hAnsi="Calibri"/>
                <w:b/>
                <w:i/>
              </w:rPr>
              <w:t>Assignment</w:t>
            </w:r>
          </w:p>
        </w:tc>
        <w:tc>
          <w:tcPr>
            <w:tcW w:w="1340" w:type="dxa"/>
            <w:tcBorders>
              <w:bottom w:val="single" w:sz="4" w:space="0" w:color="auto"/>
            </w:tcBorders>
            <w:vAlign w:val="center"/>
          </w:tcPr>
          <w:p w14:paraId="590545CD" w14:textId="77777777" w:rsidR="003C7F85" w:rsidRPr="00DF7506" w:rsidRDefault="003C7F85" w:rsidP="003C7F85">
            <w:pPr>
              <w:pStyle w:val="BodyText"/>
              <w:ind w:right="118"/>
              <w:rPr>
                <w:rFonts w:ascii="Calibri" w:hAnsi="Calibri"/>
                <w:b/>
                <w:bCs/>
                <w:i/>
              </w:rPr>
            </w:pPr>
            <w:r w:rsidRPr="00DF7506">
              <w:rPr>
                <w:rFonts w:ascii="Calibri" w:hAnsi="Calibri"/>
                <w:b/>
                <w:bCs/>
                <w:i/>
              </w:rPr>
              <w:t>Points per Assignment</w:t>
            </w:r>
          </w:p>
        </w:tc>
        <w:tc>
          <w:tcPr>
            <w:tcW w:w="1363" w:type="dxa"/>
            <w:tcBorders>
              <w:bottom w:val="single" w:sz="4" w:space="0" w:color="auto"/>
            </w:tcBorders>
            <w:vAlign w:val="center"/>
          </w:tcPr>
          <w:p w14:paraId="3A53AEB4" w14:textId="77777777" w:rsidR="003C7F85" w:rsidRPr="00DF7506" w:rsidRDefault="003C7F85" w:rsidP="003C7F85">
            <w:pPr>
              <w:pStyle w:val="BodyText"/>
              <w:ind w:right="118"/>
              <w:rPr>
                <w:rFonts w:ascii="Calibri" w:hAnsi="Calibri"/>
                <w:b/>
                <w:bCs/>
                <w:i/>
              </w:rPr>
            </w:pPr>
            <w:r w:rsidRPr="00DF7506">
              <w:rPr>
                <w:rFonts w:ascii="Calibri" w:hAnsi="Calibri"/>
                <w:b/>
                <w:bCs/>
                <w:i/>
              </w:rPr>
              <w:t>Frequency</w:t>
            </w:r>
          </w:p>
        </w:tc>
        <w:tc>
          <w:tcPr>
            <w:tcW w:w="1391" w:type="dxa"/>
            <w:tcBorders>
              <w:bottom w:val="single" w:sz="4" w:space="0" w:color="auto"/>
            </w:tcBorders>
            <w:vAlign w:val="center"/>
          </w:tcPr>
          <w:p w14:paraId="3761F214" w14:textId="77777777" w:rsidR="003C7F85" w:rsidRPr="00DF7506" w:rsidRDefault="003C7F85" w:rsidP="003C7F85">
            <w:pPr>
              <w:pStyle w:val="BodyText"/>
              <w:ind w:right="118"/>
              <w:rPr>
                <w:rFonts w:ascii="Calibri" w:hAnsi="Calibri"/>
                <w:b/>
                <w:bCs/>
                <w:i/>
              </w:rPr>
            </w:pPr>
            <w:r w:rsidRPr="00DF7506">
              <w:rPr>
                <w:rFonts w:ascii="Calibri" w:hAnsi="Calibri"/>
                <w:b/>
                <w:bCs/>
                <w:i/>
              </w:rPr>
              <w:t>GRADE POINTS</w:t>
            </w:r>
          </w:p>
        </w:tc>
        <w:tc>
          <w:tcPr>
            <w:tcW w:w="1845" w:type="dxa"/>
            <w:tcBorders>
              <w:bottom w:val="single" w:sz="4" w:space="0" w:color="auto"/>
            </w:tcBorders>
          </w:tcPr>
          <w:p w14:paraId="4390B611" w14:textId="77777777" w:rsidR="003C7F85" w:rsidRPr="00DF7506" w:rsidRDefault="003C7F85" w:rsidP="003C7F85">
            <w:pPr>
              <w:pStyle w:val="BodyText"/>
              <w:ind w:right="118"/>
              <w:rPr>
                <w:rFonts w:ascii="Calibri" w:hAnsi="Calibri"/>
                <w:b/>
                <w:bCs/>
                <w:i/>
              </w:rPr>
            </w:pPr>
            <w:r w:rsidRPr="00DF7506">
              <w:rPr>
                <w:rFonts w:ascii="Calibri" w:hAnsi="Calibri"/>
                <w:b/>
                <w:bCs/>
                <w:i/>
              </w:rPr>
              <w:t>GRADE PERCENTAGE</w:t>
            </w:r>
          </w:p>
        </w:tc>
      </w:tr>
      <w:tr w:rsidR="003C7F85" w:rsidRPr="00DF7506" w14:paraId="2815E9A7" w14:textId="77777777" w:rsidTr="003C7F85">
        <w:trPr>
          <w:trHeight w:val="107"/>
        </w:trPr>
        <w:tc>
          <w:tcPr>
            <w:tcW w:w="3179" w:type="dxa"/>
          </w:tcPr>
          <w:p w14:paraId="66D1B318" w14:textId="77777777" w:rsidR="003C7F85" w:rsidRPr="00DF7506" w:rsidRDefault="003C7F85" w:rsidP="003C7F85">
            <w:pPr>
              <w:pStyle w:val="BodyText"/>
              <w:ind w:right="118"/>
              <w:rPr>
                <w:rFonts w:ascii="Calibri" w:hAnsi="Calibri"/>
                <w:i/>
              </w:rPr>
            </w:pPr>
            <w:r>
              <w:rPr>
                <w:rFonts w:ascii="Calibri" w:hAnsi="Calibri"/>
                <w:i/>
              </w:rPr>
              <w:t>Writing Assignments</w:t>
            </w:r>
          </w:p>
          <w:p w14:paraId="15D09FD9" w14:textId="5DEE8B09" w:rsidR="003C7F85" w:rsidRPr="00DF7506" w:rsidRDefault="006E4FC6" w:rsidP="003C7F85">
            <w:pPr>
              <w:pStyle w:val="BodyText"/>
              <w:ind w:right="118"/>
              <w:rPr>
                <w:rFonts w:ascii="Calibri" w:hAnsi="Calibri"/>
                <w:i/>
              </w:rPr>
            </w:pPr>
            <w:r>
              <w:rPr>
                <w:rFonts w:ascii="Calibri" w:hAnsi="Calibri"/>
                <w:i/>
              </w:rPr>
              <w:t>Content Quizzes</w:t>
            </w:r>
          </w:p>
          <w:p w14:paraId="7F911288" w14:textId="0EA292D5" w:rsidR="003C7F85" w:rsidRPr="00DF7506" w:rsidRDefault="006E4FC6" w:rsidP="003C7F85">
            <w:pPr>
              <w:pStyle w:val="BodyText"/>
              <w:ind w:right="118"/>
              <w:rPr>
                <w:rFonts w:ascii="Calibri" w:hAnsi="Calibri"/>
                <w:i/>
              </w:rPr>
            </w:pPr>
            <w:r>
              <w:rPr>
                <w:rFonts w:ascii="Calibri" w:hAnsi="Calibri"/>
                <w:i/>
              </w:rPr>
              <w:t>Discussion Posts</w:t>
            </w:r>
          </w:p>
        </w:tc>
        <w:tc>
          <w:tcPr>
            <w:tcW w:w="1340" w:type="dxa"/>
          </w:tcPr>
          <w:p w14:paraId="7B80EF47" w14:textId="5A44FB8B" w:rsidR="003C7F85" w:rsidRPr="00DF7506" w:rsidRDefault="003C7F85" w:rsidP="003C7F85">
            <w:pPr>
              <w:pStyle w:val="BodyText"/>
              <w:ind w:right="118"/>
              <w:rPr>
                <w:rFonts w:ascii="Calibri" w:hAnsi="Calibri"/>
                <w:i/>
              </w:rPr>
            </w:pPr>
            <w:r w:rsidRPr="00DF7506">
              <w:rPr>
                <w:rFonts w:ascii="Calibri" w:hAnsi="Calibri"/>
                <w:i/>
              </w:rPr>
              <w:t xml:space="preserve">         (</w:t>
            </w:r>
            <w:r>
              <w:rPr>
                <w:rFonts w:ascii="Calibri" w:hAnsi="Calibri"/>
                <w:i/>
              </w:rPr>
              <w:t>100</w:t>
            </w:r>
            <w:r w:rsidRPr="00DF7506">
              <w:rPr>
                <w:rFonts w:ascii="Calibri" w:hAnsi="Calibri"/>
                <w:i/>
              </w:rPr>
              <w:t>)</w:t>
            </w:r>
          </w:p>
          <w:p w14:paraId="1C686B02" w14:textId="597AFF67" w:rsidR="003C7F85" w:rsidRPr="00DF7506" w:rsidRDefault="003C7F85" w:rsidP="003C7F85">
            <w:pPr>
              <w:pStyle w:val="BodyText"/>
              <w:ind w:right="118"/>
              <w:rPr>
                <w:rFonts w:ascii="Calibri" w:hAnsi="Calibri"/>
                <w:i/>
              </w:rPr>
            </w:pPr>
            <w:r w:rsidRPr="00DF7506">
              <w:rPr>
                <w:rFonts w:ascii="Calibri" w:hAnsi="Calibri"/>
                <w:i/>
              </w:rPr>
              <w:t xml:space="preserve">         (</w:t>
            </w:r>
            <w:r w:rsidR="006E4FC6">
              <w:rPr>
                <w:rFonts w:ascii="Calibri" w:hAnsi="Calibri"/>
                <w:i/>
              </w:rPr>
              <w:t>5</w:t>
            </w:r>
            <w:r>
              <w:rPr>
                <w:rFonts w:ascii="Calibri" w:hAnsi="Calibri"/>
                <w:i/>
              </w:rPr>
              <w:t>0</w:t>
            </w:r>
            <w:r w:rsidRPr="00DF7506">
              <w:rPr>
                <w:rFonts w:ascii="Calibri" w:hAnsi="Calibri"/>
                <w:i/>
              </w:rPr>
              <w:t>)</w:t>
            </w:r>
          </w:p>
          <w:p w14:paraId="6CDDFB13" w14:textId="0EA0F1BD" w:rsidR="003C7F85" w:rsidRPr="00DF7506" w:rsidRDefault="003C7F85" w:rsidP="003C7F85">
            <w:pPr>
              <w:pStyle w:val="BodyText"/>
              <w:ind w:right="118"/>
              <w:rPr>
                <w:rFonts w:ascii="Calibri" w:hAnsi="Calibri"/>
                <w:i/>
              </w:rPr>
            </w:pPr>
            <w:r w:rsidRPr="00DF7506">
              <w:rPr>
                <w:rFonts w:ascii="Calibri" w:hAnsi="Calibri"/>
                <w:i/>
              </w:rPr>
              <w:t xml:space="preserve">         (</w:t>
            </w:r>
            <w:r w:rsidR="006E4FC6">
              <w:rPr>
                <w:rFonts w:ascii="Calibri" w:hAnsi="Calibri"/>
                <w:i/>
              </w:rPr>
              <w:t>15</w:t>
            </w:r>
            <w:r w:rsidRPr="00DF7506">
              <w:rPr>
                <w:rFonts w:ascii="Calibri" w:hAnsi="Calibri"/>
                <w:i/>
              </w:rPr>
              <w:t>)</w:t>
            </w:r>
          </w:p>
          <w:p w14:paraId="1AF5EF75" w14:textId="77777777" w:rsidR="003C7F85" w:rsidRPr="00DF7506" w:rsidRDefault="003C7F85" w:rsidP="003C7F85">
            <w:pPr>
              <w:pStyle w:val="BodyText"/>
              <w:ind w:right="118"/>
              <w:rPr>
                <w:rFonts w:ascii="Calibri" w:hAnsi="Calibri"/>
                <w:i/>
              </w:rPr>
            </w:pPr>
            <w:r w:rsidRPr="00DF7506">
              <w:rPr>
                <w:rFonts w:ascii="Calibri" w:hAnsi="Calibri"/>
                <w:i/>
              </w:rPr>
              <w:t xml:space="preserve">       </w:t>
            </w:r>
          </w:p>
        </w:tc>
        <w:tc>
          <w:tcPr>
            <w:tcW w:w="1363" w:type="dxa"/>
          </w:tcPr>
          <w:p w14:paraId="67F0102D" w14:textId="77777777" w:rsidR="003C7F85" w:rsidRPr="00DF7506" w:rsidRDefault="003C7F85" w:rsidP="003C7F85">
            <w:pPr>
              <w:pStyle w:val="BodyText"/>
              <w:ind w:right="118"/>
              <w:rPr>
                <w:rFonts w:ascii="Calibri" w:hAnsi="Calibri"/>
                <w:i/>
              </w:rPr>
            </w:pPr>
            <w:r w:rsidRPr="00DF7506">
              <w:rPr>
                <w:rFonts w:ascii="Calibri" w:hAnsi="Calibri"/>
                <w:i/>
              </w:rPr>
              <w:t xml:space="preserve">      * (</w:t>
            </w:r>
            <w:r>
              <w:rPr>
                <w:rFonts w:ascii="Calibri" w:hAnsi="Calibri"/>
                <w:i/>
              </w:rPr>
              <w:t>2</w:t>
            </w:r>
            <w:r w:rsidRPr="00DF7506">
              <w:rPr>
                <w:rFonts w:ascii="Calibri" w:hAnsi="Calibri"/>
                <w:i/>
              </w:rPr>
              <w:t>)</w:t>
            </w:r>
          </w:p>
          <w:p w14:paraId="7FA982C8" w14:textId="50A9A810" w:rsidR="003C7F85" w:rsidRPr="00DF7506" w:rsidRDefault="003C7F85" w:rsidP="003C7F85">
            <w:pPr>
              <w:pStyle w:val="BodyText"/>
              <w:ind w:right="118"/>
              <w:rPr>
                <w:rFonts w:ascii="Calibri" w:hAnsi="Calibri"/>
                <w:i/>
              </w:rPr>
            </w:pPr>
            <w:r w:rsidRPr="00DF7506">
              <w:rPr>
                <w:rFonts w:ascii="Calibri" w:hAnsi="Calibri"/>
                <w:i/>
              </w:rPr>
              <w:t xml:space="preserve">      * (</w:t>
            </w:r>
            <w:r w:rsidR="006E4FC6">
              <w:rPr>
                <w:rFonts w:ascii="Calibri" w:hAnsi="Calibri"/>
                <w:i/>
              </w:rPr>
              <w:t>4</w:t>
            </w:r>
            <w:r w:rsidRPr="00DF7506">
              <w:rPr>
                <w:rFonts w:ascii="Calibri" w:hAnsi="Calibri"/>
                <w:i/>
              </w:rPr>
              <w:t xml:space="preserve">)                     </w:t>
            </w:r>
          </w:p>
          <w:p w14:paraId="250B3D33" w14:textId="2B5B8C15" w:rsidR="003C7F85" w:rsidRPr="00DF7506" w:rsidRDefault="003C7F85" w:rsidP="003C7F85">
            <w:pPr>
              <w:pStyle w:val="BodyText"/>
              <w:ind w:right="118"/>
              <w:rPr>
                <w:rFonts w:ascii="Calibri" w:hAnsi="Calibri"/>
                <w:i/>
              </w:rPr>
            </w:pPr>
            <w:r w:rsidRPr="00DF7506">
              <w:rPr>
                <w:rFonts w:ascii="Calibri" w:hAnsi="Calibri"/>
                <w:i/>
              </w:rPr>
              <w:t xml:space="preserve">      * (</w:t>
            </w:r>
            <w:r w:rsidR="006E4FC6">
              <w:rPr>
                <w:rFonts w:ascii="Calibri" w:hAnsi="Calibri"/>
                <w:i/>
              </w:rPr>
              <w:t>7</w:t>
            </w:r>
            <w:r w:rsidRPr="00DF7506">
              <w:rPr>
                <w:rFonts w:ascii="Calibri" w:hAnsi="Calibri"/>
                <w:i/>
              </w:rPr>
              <w:t>)</w:t>
            </w:r>
          </w:p>
          <w:p w14:paraId="3B37A1D3" w14:textId="77777777" w:rsidR="003C7F85" w:rsidRPr="00DF7506" w:rsidRDefault="003C7F85" w:rsidP="003C7F85">
            <w:pPr>
              <w:pStyle w:val="BodyText"/>
              <w:ind w:right="118"/>
              <w:rPr>
                <w:rFonts w:ascii="Calibri" w:hAnsi="Calibri"/>
                <w:i/>
              </w:rPr>
            </w:pPr>
            <w:r w:rsidRPr="00DF7506">
              <w:rPr>
                <w:rFonts w:ascii="Calibri" w:hAnsi="Calibri"/>
                <w:i/>
              </w:rPr>
              <w:t xml:space="preserve">      </w:t>
            </w:r>
          </w:p>
        </w:tc>
        <w:tc>
          <w:tcPr>
            <w:tcW w:w="1391" w:type="dxa"/>
          </w:tcPr>
          <w:p w14:paraId="6047DC64" w14:textId="77777777" w:rsidR="003C7F85" w:rsidRPr="00DF7506" w:rsidRDefault="003C7F85" w:rsidP="003C7F85">
            <w:pPr>
              <w:pStyle w:val="BodyText"/>
              <w:ind w:right="118"/>
              <w:rPr>
                <w:rFonts w:ascii="Calibri" w:hAnsi="Calibri"/>
                <w:i/>
              </w:rPr>
            </w:pPr>
            <w:r w:rsidRPr="00DF7506">
              <w:rPr>
                <w:rFonts w:ascii="Calibri" w:hAnsi="Calibri"/>
                <w:i/>
              </w:rPr>
              <w:t xml:space="preserve">       =     </w:t>
            </w:r>
            <w:r>
              <w:rPr>
                <w:rFonts w:ascii="Calibri" w:hAnsi="Calibri"/>
                <w:i/>
              </w:rPr>
              <w:t>200</w:t>
            </w:r>
          </w:p>
          <w:p w14:paraId="3FDEBFC5" w14:textId="77777777" w:rsidR="003C7F85" w:rsidRPr="00DF7506" w:rsidRDefault="003C7F85" w:rsidP="003C7F85">
            <w:pPr>
              <w:pStyle w:val="BodyText"/>
              <w:ind w:right="118"/>
              <w:rPr>
                <w:rFonts w:ascii="Calibri" w:hAnsi="Calibri"/>
                <w:i/>
              </w:rPr>
            </w:pPr>
            <w:r w:rsidRPr="00DF7506">
              <w:rPr>
                <w:rFonts w:ascii="Calibri" w:hAnsi="Calibri"/>
                <w:i/>
              </w:rPr>
              <w:t xml:space="preserve">       =   </w:t>
            </w:r>
            <w:r>
              <w:rPr>
                <w:rFonts w:ascii="Calibri" w:hAnsi="Calibri"/>
                <w:i/>
              </w:rPr>
              <w:t>200</w:t>
            </w:r>
          </w:p>
          <w:p w14:paraId="5F6FC16E" w14:textId="6FDAD975" w:rsidR="003C7F85" w:rsidRPr="00DF7506" w:rsidRDefault="003C7F85" w:rsidP="003C7F85">
            <w:pPr>
              <w:pStyle w:val="BodyText"/>
              <w:ind w:right="118"/>
              <w:rPr>
                <w:rFonts w:ascii="Calibri" w:hAnsi="Calibri"/>
                <w:i/>
              </w:rPr>
            </w:pPr>
            <w:r w:rsidRPr="00DF7506">
              <w:rPr>
                <w:rFonts w:ascii="Calibri" w:hAnsi="Calibri"/>
                <w:i/>
              </w:rPr>
              <w:t xml:space="preserve">       =   </w:t>
            </w:r>
            <w:r>
              <w:rPr>
                <w:rFonts w:ascii="Calibri" w:hAnsi="Calibri"/>
                <w:i/>
              </w:rPr>
              <w:t>10</w:t>
            </w:r>
            <w:r w:rsidR="006E4FC6">
              <w:rPr>
                <w:rFonts w:ascii="Calibri" w:hAnsi="Calibri"/>
                <w:i/>
              </w:rPr>
              <w:t>0</w:t>
            </w:r>
          </w:p>
          <w:p w14:paraId="5D5C8322" w14:textId="77777777" w:rsidR="003C7F85" w:rsidRPr="00DF7506" w:rsidRDefault="003C7F85" w:rsidP="003C7F85">
            <w:pPr>
              <w:pStyle w:val="BodyText"/>
              <w:ind w:right="118"/>
              <w:rPr>
                <w:rFonts w:ascii="Calibri" w:hAnsi="Calibri"/>
                <w:i/>
              </w:rPr>
            </w:pPr>
            <w:r w:rsidRPr="00DF7506">
              <w:rPr>
                <w:rFonts w:ascii="Calibri" w:hAnsi="Calibri"/>
                <w:i/>
              </w:rPr>
              <w:t xml:space="preserve">       </w:t>
            </w:r>
          </w:p>
        </w:tc>
        <w:tc>
          <w:tcPr>
            <w:tcW w:w="1845" w:type="dxa"/>
          </w:tcPr>
          <w:p w14:paraId="411F97F4" w14:textId="77777777" w:rsidR="003C7F85" w:rsidRPr="00DF7506" w:rsidRDefault="003C7F85" w:rsidP="003C7F85">
            <w:pPr>
              <w:pStyle w:val="BodyText"/>
              <w:ind w:right="118"/>
              <w:rPr>
                <w:rFonts w:ascii="Calibri" w:hAnsi="Calibri"/>
                <w:i/>
              </w:rPr>
            </w:pPr>
            <w:r w:rsidRPr="00DF7506">
              <w:rPr>
                <w:rFonts w:ascii="Calibri" w:hAnsi="Calibri"/>
                <w:i/>
              </w:rPr>
              <w:t xml:space="preserve">                  </w:t>
            </w:r>
            <w:r>
              <w:rPr>
                <w:rFonts w:ascii="Calibri" w:hAnsi="Calibri"/>
                <w:i/>
              </w:rPr>
              <w:t>40</w:t>
            </w:r>
            <w:r w:rsidRPr="00DF7506">
              <w:rPr>
                <w:rFonts w:ascii="Calibri" w:hAnsi="Calibri"/>
                <w:i/>
              </w:rPr>
              <w:t>%</w:t>
            </w:r>
          </w:p>
          <w:p w14:paraId="741534FE" w14:textId="77777777" w:rsidR="003C7F85" w:rsidRPr="00DF7506" w:rsidRDefault="003C7F85" w:rsidP="003C7F85">
            <w:pPr>
              <w:pStyle w:val="BodyText"/>
              <w:ind w:right="118"/>
              <w:rPr>
                <w:rFonts w:ascii="Calibri" w:hAnsi="Calibri"/>
                <w:i/>
              </w:rPr>
            </w:pPr>
            <w:r w:rsidRPr="00DF7506">
              <w:rPr>
                <w:rFonts w:ascii="Calibri" w:hAnsi="Calibri"/>
                <w:i/>
              </w:rPr>
              <w:t xml:space="preserve">               </w:t>
            </w:r>
            <w:r>
              <w:rPr>
                <w:rFonts w:ascii="Calibri" w:hAnsi="Calibri"/>
                <w:i/>
              </w:rPr>
              <w:t xml:space="preserve"> </w:t>
            </w:r>
            <w:r w:rsidRPr="00DF7506">
              <w:rPr>
                <w:rFonts w:ascii="Calibri" w:hAnsi="Calibri"/>
                <w:i/>
              </w:rPr>
              <w:t xml:space="preserve"> </w:t>
            </w:r>
            <w:r>
              <w:rPr>
                <w:rFonts w:ascii="Calibri" w:hAnsi="Calibri"/>
                <w:i/>
              </w:rPr>
              <w:t>40</w:t>
            </w:r>
            <w:r w:rsidRPr="00DF7506">
              <w:rPr>
                <w:rFonts w:ascii="Calibri" w:hAnsi="Calibri"/>
                <w:i/>
              </w:rPr>
              <w:t>%</w:t>
            </w:r>
          </w:p>
          <w:p w14:paraId="6C9EEDCE" w14:textId="77777777" w:rsidR="003C7F85" w:rsidRPr="00DF7506" w:rsidRDefault="003C7F85" w:rsidP="003C7F85">
            <w:pPr>
              <w:pStyle w:val="BodyText"/>
              <w:ind w:right="118"/>
              <w:rPr>
                <w:rFonts w:ascii="Calibri" w:hAnsi="Calibri"/>
                <w:i/>
              </w:rPr>
            </w:pPr>
            <w:r w:rsidRPr="00DF7506">
              <w:rPr>
                <w:rFonts w:ascii="Calibri" w:hAnsi="Calibri"/>
                <w:i/>
              </w:rPr>
              <w:t xml:space="preserve">                2</w:t>
            </w:r>
            <w:r>
              <w:rPr>
                <w:rFonts w:ascii="Calibri" w:hAnsi="Calibri"/>
                <w:i/>
              </w:rPr>
              <w:t>0</w:t>
            </w:r>
            <w:r w:rsidRPr="00DF7506">
              <w:rPr>
                <w:rFonts w:ascii="Calibri" w:hAnsi="Calibri"/>
                <w:i/>
              </w:rPr>
              <w:t>%</w:t>
            </w:r>
          </w:p>
        </w:tc>
      </w:tr>
      <w:tr w:rsidR="003C7F85" w:rsidRPr="00DF7506" w14:paraId="442126E1" w14:textId="77777777" w:rsidTr="003C7F85">
        <w:trPr>
          <w:trHeight w:val="107"/>
        </w:trPr>
        <w:tc>
          <w:tcPr>
            <w:tcW w:w="3179" w:type="dxa"/>
          </w:tcPr>
          <w:p w14:paraId="6BB18235" w14:textId="77777777" w:rsidR="003C7F85" w:rsidRPr="00DF7506" w:rsidRDefault="003C7F85" w:rsidP="003C7F85">
            <w:pPr>
              <w:pStyle w:val="BodyText"/>
              <w:ind w:right="118"/>
              <w:rPr>
                <w:rFonts w:ascii="Calibri" w:hAnsi="Calibri"/>
                <w:i/>
              </w:rPr>
            </w:pPr>
          </w:p>
        </w:tc>
        <w:tc>
          <w:tcPr>
            <w:tcW w:w="1340" w:type="dxa"/>
          </w:tcPr>
          <w:p w14:paraId="13DD2397" w14:textId="77777777" w:rsidR="003C7F85" w:rsidRPr="00DF7506" w:rsidRDefault="003C7F85" w:rsidP="003C7F85">
            <w:pPr>
              <w:pStyle w:val="BodyText"/>
              <w:ind w:right="118"/>
              <w:rPr>
                <w:rFonts w:ascii="Calibri" w:hAnsi="Calibri"/>
                <w:i/>
              </w:rPr>
            </w:pPr>
          </w:p>
        </w:tc>
        <w:tc>
          <w:tcPr>
            <w:tcW w:w="1363" w:type="dxa"/>
          </w:tcPr>
          <w:p w14:paraId="25AB26E8" w14:textId="77777777" w:rsidR="003C7F85" w:rsidRPr="00DF7506" w:rsidRDefault="003C7F85" w:rsidP="003C7F85">
            <w:pPr>
              <w:pStyle w:val="BodyText"/>
              <w:ind w:right="118"/>
              <w:rPr>
                <w:rFonts w:ascii="Calibri" w:hAnsi="Calibri"/>
                <w:i/>
              </w:rPr>
            </w:pPr>
          </w:p>
        </w:tc>
        <w:tc>
          <w:tcPr>
            <w:tcW w:w="1391" w:type="dxa"/>
          </w:tcPr>
          <w:p w14:paraId="32005DF6" w14:textId="77777777" w:rsidR="003C7F85" w:rsidRPr="00DF7506" w:rsidRDefault="003C7F85" w:rsidP="003C7F85">
            <w:pPr>
              <w:pStyle w:val="BodyText"/>
              <w:ind w:right="118"/>
              <w:rPr>
                <w:rFonts w:ascii="Calibri" w:hAnsi="Calibri"/>
                <w:i/>
              </w:rPr>
            </w:pPr>
          </w:p>
        </w:tc>
        <w:tc>
          <w:tcPr>
            <w:tcW w:w="1845" w:type="dxa"/>
          </w:tcPr>
          <w:p w14:paraId="53216B60" w14:textId="77777777" w:rsidR="003C7F85" w:rsidRPr="00DF7506" w:rsidRDefault="003C7F85" w:rsidP="003C7F85">
            <w:pPr>
              <w:pStyle w:val="BodyText"/>
              <w:ind w:right="118"/>
              <w:rPr>
                <w:rFonts w:ascii="Calibri" w:hAnsi="Calibri"/>
                <w:i/>
              </w:rPr>
            </w:pPr>
          </w:p>
        </w:tc>
      </w:tr>
      <w:tr w:rsidR="003C7F85" w:rsidRPr="00DF7506" w14:paraId="16BA4422" w14:textId="77777777" w:rsidTr="003C7F85">
        <w:trPr>
          <w:trHeight w:val="107"/>
        </w:trPr>
        <w:tc>
          <w:tcPr>
            <w:tcW w:w="3179" w:type="dxa"/>
            <w:tcBorders>
              <w:top w:val="single" w:sz="4" w:space="0" w:color="auto"/>
            </w:tcBorders>
          </w:tcPr>
          <w:p w14:paraId="46DD59E2" w14:textId="77777777" w:rsidR="003C7F85" w:rsidRDefault="003C7F85" w:rsidP="003C7F85">
            <w:pPr>
              <w:pStyle w:val="BodyText"/>
              <w:ind w:right="118"/>
              <w:rPr>
                <w:rFonts w:ascii="Calibri" w:hAnsi="Calibri"/>
                <w:i/>
              </w:rPr>
            </w:pPr>
            <w:r w:rsidRPr="00DF7506">
              <w:rPr>
                <w:rFonts w:ascii="Calibri" w:hAnsi="Calibri"/>
                <w:b/>
                <w:bCs/>
                <w:i/>
              </w:rPr>
              <w:t>TOTAL</w:t>
            </w:r>
          </w:p>
        </w:tc>
        <w:tc>
          <w:tcPr>
            <w:tcW w:w="1340" w:type="dxa"/>
            <w:tcBorders>
              <w:top w:val="single" w:sz="4" w:space="0" w:color="auto"/>
            </w:tcBorders>
          </w:tcPr>
          <w:p w14:paraId="34CE0C44" w14:textId="77777777" w:rsidR="003C7F85" w:rsidRPr="00DF7506" w:rsidRDefault="003C7F85" w:rsidP="003C7F85">
            <w:pPr>
              <w:pStyle w:val="BodyText"/>
              <w:ind w:right="118"/>
              <w:rPr>
                <w:rFonts w:ascii="Calibri" w:hAnsi="Calibri"/>
                <w:i/>
              </w:rPr>
            </w:pPr>
          </w:p>
        </w:tc>
        <w:tc>
          <w:tcPr>
            <w:tcW w:w="1363" w:type="dxa"/>
            <w:tcBorders>
              <w:top w:val="single" w:sz="4" w:space="0" w:color="auto"/>
            </w:tcBorders>
          </w:tcPr>
          <w:p w14:paraId="5FB96C63" w14:textId="77777777" w:rsidR="003C7F85" w:rsidRPr="00DF7506" w:rsidRDefault="003C7F85" w:rsidP="003C7F85">
            <w:pPr>
              <w:pStyle w:val="BodyText"/>
              <w:ind w:right="118"/>
              <w:rPr>
                <w:rFonts w:ascii="Calibri" w:hAnsi="Calibri"/>
                <w:i/>
              </w:rPr>
            </w:pPr>
          </w:p>
        </w:tc>
        <w:tc>
          <w:tcPr>
            <w:tcW w:w="1391" w:type="dxa"/>
            <w:tcBorders>
              <w:top w:val="single" w:sz="4" w:space="0" w:color="auto"/>
            </w:tcBorders>
          </w:tcPr>
          <w:p w14:paraId="677FEA14" w14:textId="77777777" w:rsidR="003C7F85" w:rsidRPr="00DF7506" w:rsidRDefault="003C7F85" w:rsidP="003C7F85">
            <w:pPr>
              <w:pStyle w:val="BodyText"/>
              <w:ind w:right="118"/>
              <w:rPr>
                <w:rFonts w:ascii="Calibri" w:hAnsi="Calibri"/>
                <w:i/>
              </w:rPr>
            </w:pPr>
            <w:r>
              <w:rPr>
                <w:rFonts w:ascii="Calibri" w:hAnsi="Calibri"/>
                <w:b/>
                <w:bCs/>
                <w:i/>
              </w:rPr>
              <w:t xml:space="preserve">       </w:t>
            </w:r>
            <w:proofErr w:type="gramStart"/>
            <w:r w:rsidRPr="00DF7506">
              <w:rPr>
                <w:rFonts w:ascii="Calibri" w:hAnsi="Calibri"/>
                <w:b/>
                <w:bCs/>
                <w:i/>
              </w:rPr>
              <w:t xml:space="preserve">=  </w:t>
            </w:r>
            <w:r>
              <w:rPr>
                <w:rFonts w:ascii="Calibri" w:hAnsi="Calibri"/>
                <w:b/>
                <w:bCs/>
                <w:i/>
              </w:rPr>
              <w:t>5</w:t>
            </w:r>
            <w:r w:rsidRPr="00DF7506">
              <w:rPr>
                <w:rFonts w:ascii="Calibri" w:hAnsi="Calibri"/>
                <w:b/>
                <w:bCs/>
                <w:i/>
              </w:rPr>
              <w:t>00</w:t>
            </w:r>
            <w:proofErr w:type="gramEnd"/>
          </w:p>
        </w:tc>
        <w:tc>
          <w:tcPr>
            <w:tcW w:w="1845" w:type="dxa"/>
            <w:tcBorders>
              <w:top w:val="single" w:sz="4" w:space="0" w:color="auto"/>
            </w:tcBorders>
          </w:tcPr>
          <w:p w14:paraId="3143F27C" w14:textId="77777777" w:rsidR="003C7F85" w:rsidRPr="00DF7506" w:rsidRDefault="003C7F85" w:rsidP="003C7F85">
            <w:pPr>
              <w:pStyle w:val="BodyText"/>
              <w:ind w:right="118"/>
              <w:rPr>
                <w:rFonts w:ascii="Calibri" w:hAnsi="Calibri"/>
                <w:i/>
              </w:rPr>
            </w:pPr>
            <w:r>
              <w:rPr>
                <w:rFonts w:ascii="Calibri" w:hAnsi="Calibri"/>
                <w:b/>
                <w:bCs/>
                <w:i/>
              </w:rPr>
              <w:t xml:space="preserve">            </w:t>
            </w:r>
            <w:r w:rsidRPr="00DF7506">
              <w:rPr>
                <w:rFonts w:ascii="Calibri" w:hAnsi="Calibri"/>
                <w:b/>
                <w:bCs/>
                <w:i/>
              </w:rPr>
              <w:t>= 100%</w:t>
            </w:r>
          </w:p>
        </w:tc>
      </w:tr>
      <w:tr w:rsidR="003C7F85" w:rsidRPr="00DF7506" w14:paraId="6F2A380F" w14:textId="77777777" w:rsidTr="003C7F85">
        <w:trPr>
          <w:trHeight w:val="107"/>
        </w:trPr>
        <w:tc>
          <w:tcPr>
            <w:tcW w:w="3179" w:type="dxa"/>
            <w:tcBorders>
              <w:top w:val="single" w:sz="4" w:space="0" w:color="auto"/>
            </w:tcBorders>
          </w:tcPr>
          <w:p w14:paraId="02D491F7" w14:textId="77777777" w:rsidR="003C7F85" w:rsidRPr="00DF7506" w:rsidRDefault="003C7F85" w:rsidP="003C7F85">
            <w:pPr>
              <w:pStyle w:val="BodyText"/>
              <w:ind w:right="118"/>
              <w:rPr>
                <w:rFonts w:ascii="Calibri" w:hAnsi="Calibri"/>
                <w:i/>
              </w:rPr>
            </w:pPr>
          </w:p>
        </w:tc>
        <w:tc>
          <w:tcPr>
            <w:tcW w:w="1340" w:type="dxa"/>
            <w:tcBorders>
              <w:top w:val="single" w:sz="4" w:space="0" w:color="auto"/>
            </w:tcBorders>
          </w:tcPr>
          <w:p w14:paraId="2FF05A64" w14:textId="77777777" w:rsidR="003C7F85" w:rsidRPr="00DF7506" w:rsidRDefault="003C7F85" w:rsidP="003C7F85">
            <w:pPr>
              <w:pStyle w:val="BodyText"/>
              <w:ind w:right="118"/>
              <w:rPr>
                <w:rFonts w:ascii="Calibri" w:hAnsi="Calibri"/>
                <w:i/>
              </w:rPr>
            </w:pPr>
          </w:p>
        </w:tc>
        <w:tc>
          <w:tcPr>
            <w:tcW w:w="1363" w:type="dxa"/>
            <w:tcBorders>
              <w:top w:val="single" w:sz="4" w:space="0" w:color="auto"/>
            </w:tcBorders>
          </w:tcPr>
          <w:p w14:paraId="32C887DF" w14:textId="77777777" w:rsidR="003C7F85" w:rsidRPr="00DF7506" w:rsidRDefault="003C7F85" w:rsidP="003C7F85">
            <w:pPr>
              <w:pStyle w:val="BodyText"/>
              <w:ind w:right="118"/>
              <w:rPr>
                <w:rFonts w:ascii="Calibri" w:hAnsi="Calibri"/>
                <w:i/>
              </w:rPr>
            </w:pPr>
          </w:p>
        </w:tc>
        <w:tc>
          <w:tcPr>
            <w:tcW w:w="1391" w:type="dxa"/>
            <w:tcBorders>
              <w:top w:val="single" w:sz="4" w:space="0" w:color="auto"/>
            </w:tcBorders>
          </w:tcPr>
          <w:p w14:paraId="521142D0" w14:textId="77777777" w:rsidR="003C7F85" w:rsidRPr="00DF7506" w:rsidRDefault="003C7F85" w:rsidP="003C7F85">
            <w:pPr>
              <w:pStyle w:val="BodyText"/>
              <w:ind w:right="118"/>
              <w:rPr>
                <w:rFonts w:ascii="Calibri" w:hAnsi="Calibri"/>
                <w:i/>
              </w:rPr>
            </w:pPr>
          </w:p>
        </w:tc>
        <w:tc>
          <w:tcPr>
            <w:tcW w:w="1845" w:type="dxa"/>
            <w:tcBorders>
              <w:top w:val="single" w:sz="4" w:space="0" w:color="auto"/>
            </w:tcBorders>
          </w:tcPr>
          <w:p w14:paraId="7B3D065E" w14:textId="77777777" w:rsidR="003C7F85" w:rsidRPr="00DF7506" w:rsidRDefault="003C7F85" w:rsidP="003C7F85">
            <w:pPr>
              <w:pStyle w:val="BodyText"/>
              <w:ind w:right="118"/>
              <w:rPr>
                <w:rFonts w:ascii="Calibri" w:hAnsi="Calibri"/>
                <w:i/>
              </w:rPr>
            </w:pPr>
          </w:p>
        </w:tc>
      </w:tr>
      <w:tr w:rsidR="003C7F85" w:rsidRPr="00DF7506" w14:paraId="6B87A9C2" w14:textId="77777777" w:rsidTr="003C7F85">
        <w:trPr>
          <w:trHeight w:val="179"/>
        </w:trPr>
        <w:tc>
          <w:tcPr>
            <w:tcW w:w="3179" w:type="dxa"/>
            <w:tcBorders>
              <w:top w:val="single" w:sz="4" w:space="0" w:color="auto"/>
            </w:tcBorders>
          </w:tcPr>
          <w:p w14:paraId="41B597A7" w14:textId="77777777" w:rsidR="003C7F85" w:rsidRPr="00DF7506" w:rsidRDefault="003C7F85" w:rsidP="003C7F85">
            <w:pPr>
              <w:pStyle w:val="BodyText"/>
              <w:ind w:right="118"/>
              <w:rPr>
                <w:rFonts w:ascii="Calibri" w:hAnsi="Calibri"/>
                <w:bCs/>
                <w:i/>
              </w:rPr>
            </w:pPr>
          </w:p>
        </w:tc>
        <w:tc>
          <w:tcPr>
            <w:tcW w:w="1340" w:type="dxa"/>
            <w:tcBorders>
              <w:top w:val="single" w:sz="4" w:space="0" w:color="auto"/>
            </w:tcBorders>
          </w:tcPr>
          <w:p w14:paraId="6E87B36A" w14:textId="77777777" w:rsidR="003C7F85" w:rsidRPr="00DF7506" w:rsidRDefault="003C7F85" w:rsidP="003C7F85">
            <w:pPr>
              <w:pStyle w:val="BodyText"/>
              <w:ind w:right="118"/>
              <w:rPr>
                <w:rFonts w:ascii="Calibri" w:hAnsi="Calibri"/>
                <w:b/>
                <w:bCs/>
                <w:i/>
              </w:rPr>
            </w:pPr>
          </w:p>
        </w:tc>
        <w:tc>
          <w:tcPr>
            <w:tcW w:w="1363" w:type="dxa"/>
            <w:tcBorders>
              <w:top w:val="single" w:sz="4" w:space="0" w:color="auto"/>
            </w:tcBorders>
          </w:tcPr>
          <w:p w14:paraId="66FAC9DD" w14:textId="77777777" w:rsidR="003C7F85" w:rsidRPr="00DF7506" w:rsidRDefault="003C7F85" w:rsidP="003C7F85">
            <w:pPr>
              <w:pStyle w:val="BodyText"/>
              <w:ind w:right="118"/>
              <w:rPr>
                <w:rFonts w:ascii="Calibri" w:hAnsi="Calibri"/>
                <w:b/>
                <w:bCs/>
                <w:i/>
              </w:rPr>
            </w:pPr>
          </w:p>
        </w:tc>
        <w:tc>
          <w:tcPr>
            <w:tcW w:w="1391" w:type="dxa"/>
            <w:tcBorders>
              <w:top w:val="single" w:sz="4" w:space="0" w:color="auto"/>
            </w:tcBorders>
          </w:tcPr>
          <w:p w14:paraId="3E1F13E7" w14:textId="77777777" w:rsidR="003C7F85" w:rsidRPr="00DF7506" w:rsidRDefault="003C7F85" w:rsidP="003C7F85">
            <w:pPr>
              <w:pStyle w:val="BodyText"/>
              <w:ind w:right="118"/>
              <w:rPr>
                <w:rFonts w:ascii="Calibri" w:hAnsi="Calibri"/>
                <w:b/>
                <w:bCs/>
                <w:i/>
              </w:rPr>
            </w:pPr>
          </w:p>
        </w:tc>
        <w:tc>
          <w:tcPr>
            <w:tcW w:w="1845" w:type="dxa"/>
            <w:tcBorders>
              <w:top w:val="single" w:sz="4" w:space="0" w:color="auto"/>
            </w:tcBorders>
          </w:tcPr>
          <w:p w14:paraId="494B5EFB" w14:textId="77777777" w:rsidR="003C7F85" w:rsidRPr="00DF7506" w:rsidRDefault="003C7F85" w:rsidP="003C7F85">
            <w:pPr>
              <w:pStyle w:val="BodyText"/>
              <w:ind w:right="118"/>
              <w:rPr>
                <w:rFonts w:ascii="Calibri" w:hAnsi="Calibri"/>
                <w:b/>
                <w:bCs/>
                <w:i/>
              </w:rPr>
            </w:pPr>
          </w:p>
        </w:tc>
      </w:tr>
    </w:tbl>
    <w:p w14:paraId="78245160" w14:textId="676269F2" w:rsidR="00DB0240" w:rsidRPr="00DB0240" w:rsidRDefault="00DB0240" w:rsidP="00DB0240">
      <w:pPr>
        <w:rPr>
          <w:b/>
          <w:bCs/>
          <w:sz w:val="20"/>
          <w:szCs w:val="20"/>
        </w:rPr>
      </w:pPr>
      <w:r w:rsidRPr="00DB0240">
        <w:rPr>
          <w:b/>
          <w:bCs/>
          <w:sz w:val="20"/>
          <w:szCs w:val="20"/>
        </w:rPr>
        <w:t>Final Grades will be Calculated from the Following Assignments:</w:t>
      </w:r>
      <w:r w:rsidR="00D73849" w:rsidRPr="00D73849">
        <w:rPr>
          <w:b/>
          <w:bCs/>
          <w:sz w:val="20"/>
          <w:szCs w:val="20"/>
        </w:rPr>
        <w:t xml:space="preserve"> </w:t>
      </w:r>
      <w:r w:rsidR="00D73849" w:rsidRPr="00AC25DF">
        <w:rPr>
          <w:b/>
          <w:bCs/>
          <w:sz w:val="20"/>
          <w:szCs w:val="20"/>
        </w:rPr>
        <w:t>Please keep a copy of all work created for the course, including work submitted through Canvas.  Any questions about grades need to be made in writing within 10 days of the grade being posted.</w:t>
      </w:r>
    </w:p>
    <w:p w14:paraId="2452B5DB" w14:textId="5B3EA5A2" w:rsidR="00DB0240" w:rsidRDefault="00DB0240" w:rsidP="00DB0240">
      <w:pPr>
        <w:rPr>
          <w:sz w:val="20"/>
          <w:szCs w:val="20"/>
        </w:rPr>
      </w:pPr>
      <w:r w:rsidRPr="00DB0240">
        <w:rPr>
          <w:b/>
          <w:bCs/>
          <w:sz w:val="20"/>
          <w:szCs w:val="20"/>
        </w:rPr>
        <w:t xml:space="preserve">(4 Quizzes/50pts each/200 total) </w:t>
      </w:r>
      <w:r w:rsidRPr="00DB0240">
        <w:rPr>
          <w:sz w:val="20"/>
          <w:szCs w:val="20"/>
        </w:rPr>
        <w:t xml:space="preserve">Quizzes are open note, book, and internet. However, you should not submit quizzes with the help of your peers. To assure this, each quiz has multiple variations of the same questions. It will not be beneficial to copy quiz answers off your peers. </w:t>
      </w:r>
    </w:p>
    <w:p w14:paraId="0D652720" w14:textId="52F86A93" w:rsidR="00DB0240" w:rsidRPr="00DB0240" w:rsidRDefault="00DB0240" w:rsidP="00DB0240">
      <w:pPr>
        <w:rPr>
          <w:sz w:val="20"/>
          <w:szCs w:val="20"/>
        </w:rPr>
      </w:pPr>
      <w:r w:rsidRPr="00DB0240">
        <w:rPr>
          <w:sz w:val="20"/>
          <w:szCs w:val="20"/>
        </w:rPr>
        <w:t xml:space="preserve">Reading quizzes will be administered on Canvas and will be open note with a 1-hour time limit. You should not need to download any additional software or programs to take the quizzes. There will be a cumulative final quiz open 8:00am Monday December 12- 11:59pm Friday December 17 during Finals week. </w:t>
      </w:r>
    </w:p>
    <w:p w14:paraId="14174E48" w14:textId="77777777" w:rsidR="00DB0240" w:rsidRPr="00DB0240" w:rsidRDefault="00DB0240" w:rsidP="00DB0240">
      <w:pPr>
        <w:rPr>
          <w:sz w:val="20"/>
          <w:szCs w:val="20"/>
        </w:rPr>
      </w:pPr>
      <w:r w:rsidRPr="00DB0240">
        <w:rPr>
          <w:b/>
          <w:bCs/>
          <w:sz w:val="20"/>
          <w:szCs w:val="20"/>
        </w:rPr>
        <w:t xml:space="preserve">(2 Writing Assignments/100pts each/200 total) </w:t>
      </w:r>
      <w:r w:rsidRPr="00DB0240">
        <w:rPr>
          <w:sz w:val="20"/>
          <w:szCs w:val="20"/>
        </w:rPr>
        <w:t>Writing assignments will be submitted on Canvas under the Assignments tab, or via the Module in which it is due. Expectations for written work will be discussed in class and posted to Canvas.</w:t>
      </w:r>
    </w:p>
    <w:p w14:paraId="5D22CAB7" w14:textId="779F73A8" w:rsidR="00DB0240" w:rsidRPr="00DB0240" w:rsidRDefault="00DB0240" w:rsidP="00DB0240">
      <w:pPr>
        <w:rPr>
          <w:sz w:val="20"/>
          <w:szCs w:val="20"/>
        </w:rPr>
      </w:pPr>
      <w:r w:rsidRPr="00DB0240">
        <w:rPr>
          <w:b/>
          <w:bCs/>
          <w:sz w:val="20"/>
          <w:szCs w:val="20"/>
        </w:rPr>
        <w:t xml:space="preserve">(7 Discussion Posts/15pts each/105 total/graded out of 100) </w:t>
      </w:r>
      <w:r w:rsidRPr="00DB0240">
        <w:rPr>
          <w:sz w:val="20"/>
          <w:szCs w:val="20"/>
        </w:rPr>
        <w:t xml:space="preserve">Discussion posts are due every two weeks on Canvas. Each discussion post will have about 3-5 potential topics. For your original post, you will choose </w:t>
      </w:r>
      <w:r w:rsidRPr="00DB0240">
        <w:rPr>
          <w:i/>
          <w:iCs/>
          <w:sz w:val="20"/>
          <w:szCs w:val="20"/>
        </w:rPr>
        <w:t>one</w:t>
      </w:r>
      <w:r w:rsidRPr="00DB0240">
        <w:rPr>
          <w:sz w:val="20"/>
          <w:szCs w:val="20"/>
        </w:rPr>
        <w:t xml:space="preserve"> of the topics to write on. </w:t>
      </w:r>
      <w:r>
        <w:rPr>
          <w:sz w:val="20"/>
          <w:szCs w:val="20"/>
        </w:rPr>
        <w:t xml:space="preserve">You can receive credit for either creating an original post, or by responding to another discussant. However, in either case your response should demonstrate having engaged with one of the discussion readings. </w:t>
      </w:r>
      <w:r w:rsidRPr="00DB0240">
        <w:rPr>
          <w:sz w:val="20"/>
          <w:szCs w:val="20"/>
        </w:rPr>
        <w:t xml:space="preserve"> </w:t>
      </w:r>
    </w:p>
    <w:p w14:paraId="466410CC" w14:textId="7A74F726" w:rsidR="00CD1F0D" w:rsidRDefault="00DB0240" w:rsidP="00DB0240">
      <w:pPr>
        <w:rPr>
          <w:sz w:val="20"/>
          <w:szCs w:val="20"/>
        </w:rPr>
      </w:pPr>
      <w:r w:rsidRPr="00DB0240">
        <w:rPr>
          <w:sz w:val="20"/>
          <w:szCs w:val="20"/>
        </w:rPr>
        <w:t>Extra credit will be available for those who continually post before the discussion due date, so that there is content to discuss!</w:t>
      </w:r>
    </w:p>
    <w:p w14:paraId="007A7738" w14:textId="77777777" w:rsidR="00022CB5" w:rsidRPr="00CC69D0" w:rsidRDefault="00022CB5" w:rsidP="00022CB5">
      <w:pPr>
        <w:pStyle w:val="Heading1"/>
        <w:rPr>
          <w:rFonts w:eastAsia="Times New Roman"/>
        </w:rPr>
      </w:pPr>
      <w:r w:rsidRPr="00FC73BF">
        <w:rPr>
          <w:rFonts w:eastAsia="Times New Roman"/>
        </w:rPr>
        <w:t>Grading Policy</w:t>
      </w:r>
    </w:p>
    <w:tbl>
      <w:tblPr>
        <w:tblW w:w="3025" w:type="pct"/>
        <w:jc w:val="center"/>
        <w:tblCellSpacing w:w="2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06"/>
        <w:gridCol w:w="1445"/>
        <w:gridCol w:w="1615"/>
        <w:gridCol w:w="1687"/>
      </w:tblGrid>
      <w:tr w:rsidR="00594EA4" w:rsidRPr="00AC25DF" w14:paraId="32E94754" w14:textId="77777777" w:rsidTr="00C92757">
        <w:trPr>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EBB6DDC" w14:textId="77777777" w:rsidR="00594EA4" w:rsidRPr="00AC25DF" w:rsidRDefault="00594EA4" w:rsidP="00C92757">
            <w:pPr>
              <w:rPr>
                <w:i/>
                <w:sz w:val="20"/>
                <w:szCs w:val="20"/>
              </w:rPr>
            </w:pPr>
            <w:r w:rsidRPr="00AC25DF">
              <w:rPr>
                <w:b/>
                <w:bCs/>
                <w:i/>
                <w:sz w:val="20"/>
                <w:szCs w:val="20"/>
              </w:rPr>
              <w:t>Grade</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7725840" w14:textId="77777777" w:rsidR="00594EA4" w:rsidRPr="00AC25DF" w:rsidRDefault="00594EA4" w:rsidP="00C92757">
            <w:pPr>
              <w:rPr>
                <w:i/>
                <w:sz w:val="20"/>
                <w:szCs w:val="20"/>
              </w:rPr>
            </w:pPr>
            <w:r w:rsidRPr="00AC25DF">
              <w:rPr>
                <w:b/>
                <w:bCs/>
                <w:i/>
                <w:sz w:val="20"/>
                <w:szCs w:val="20"/>
              </w:rPr>
              <w:t>Percentage Grade</w:t>
            </w:r>
          </w:p>
        </w:tc>
        <w:tc>
          <w:tcPr>
            <w:tcW w:w="139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B08C75" w14:textId="77777777" w:rsidR="00594EA4" w:rsidRPr="00AC25DF" w:rsidRDefault="00594EA4" w:rsidP="00C92757">
            <w:pPr>
              <w:rPr>
                <w:i/>
                <w:sz w:val="20"/>
                <w:szCs w:val="20"/>
              </w:rPr>
            </w:pPr>
            <w:r w:rsidRPr="00AC25DF">
              <w:rPr>
                <w:b/>
                <w:bCs/>
                <w:i/>
                <w:sz w:val="20"/>
                <w:szCs w:val="20"/>
              </w:rPr>
              <w:t>Equivalent Points</w:t>
            </w:r>
          </w:p>
        </w:tc>
        <w:tc>
          <w:tcPr>
            <w:tcW w:w="1434"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8092BFD" w14:textId="77777777" w:rsidR="00594EA4" w:rsidRPr="00AC25DF" w:rsidRDefault="00594EA4" w:rsidP="00C92757">
            <w:pPr>
              <w:rPr>
                <w:i/>
                <w:sz w:val="20"/>
                <w:szCs w:val="20"/>
              </w:rPr>
            </w:pPr>
            <w:r w:rsidRPr="00AC25DF">
              <w:rPr>
                <w:b/>
                <w:bCs/>
                <w:i/>
                <w:sz w:val="20"/>
                <w:szCs w:val="20"/>
              </w:rPr>
              <w:t>Indicates</w:t>
            </w:r>
          </w:p>
        </w:tc>
      </w:tr>
      <w:tr w:rsidR="00594EA4" w:rsidRPr="00AC25DF" w14:paraId="403DB8FF" w14:textId="77777777" w:rsidTr="00C92757">
        <w:trPr>
          <w:trHeight w:val="20"/>
          <w:tblCellSpacing w:w="22" w:type="dxa"/>
          <w:jc w:val="center"/>
        </w:trPr>
        <w:tc>
          <w:tcPr>
            <w:tcW w:w="742"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3A6220C1" w14:textId="77777777" w:rsidR="00594EA4" w:rsidRPr="00AC25DF" w:rsidRDefault="00594EA4" w:rsidP="00C92757">
            <w:pPr>
              <w:rPr>
                <w:b/>
                <w:bCs/>
                <w:i/>
                <w:sz w:val="20"/>
                <w:szCs w:val="20"/>
              </w:rPr>
            </w:pPr>
            <w:r w:rsidRPr="00AC25DF">
              <w:rPr>
                <w:b/>
                <w:bCs/>
                <w:i/>
                <w:sz w:val="20"/>
                <w:szCs w:val="20"/>
              </w:rPr>
              <w:t>A+</w:t>
            </w:r>
          </w:p>
        </w:tc>
        <w:tc>
          <w:tcPr>
            <w:tcW w:w="1239" w:type="pct"/>
            <w:tcBorders>
              <w:top w:val="outset" w:sz="6" w:space="0" w:color="000000"/>
              <w:left w:val="outset" w:sz="6" w:space="0" w:color="000000"/>
              <w:bottom w:val="outset" w:sz="6" w:space="0" w:color="000000"/>
              <w:right w:val="outset" w:sz="6" w:space="0" w:color="000000"/>
            </w:tcBorders>
            <w:vAlign w:val="center"/>
          </w:tcPr>
          <w:p w14:paraId="618F71A4" w14:textId="77777777" w:rsidR="00594EA4" w:rsidRPr="00AC25DF" w:rsidRDefault="00594EA4" w:rsidP="00C92757">
            <w:pPr>
              <w:rPr>
                <w:i/>
                <w:sz w:val="20"/>
                <w:szCs w:val="20"/>
              </w:rPr>
            </w:pPr>
            <w:r w:rsidRPr="00AC25DF">
              <w:rPr>
                <w:i/>
                <w:sz w:val="20"/>
                <w:szCs w:val="20"/>
              </w:rPr>
              <w:t>96.67 to 100</w:t>
            </w:r>
          </w:p>
        </w:tc>
        <w:tc>
          <w:tcPr>
            <w:tcW w:w="1390" w:type="pct"/>
            <w:tcBorders>
              <w:top w:val="outset" w:sz="6" w:space="0" w:color="000000"/>
              <w:left w:val="outset" w:sz="6" w:space="0" w:color="000000"/>
              <w:bottom w:val="outset" w:sz="6" w:space="0" w:color="000000"/>
              <w:right w:val="outset" w:sz="6" w:space="0" w:color="000000"/>
            </w:tcBorders>
            <w:vAlign w:val="center"/>
          </w:tcPr>
          <w:p w14:paraId="57077F23" w14:textId="77777777" w:rsidR="00594EA4" w:rsidRPr="00AC25DF" w:rsidRDefault="00594EA4" w:rsidP="00C92757">
            <w:pPr>
              <w:rPr>
                <w:i/>
                <w:sz w:val="20"/>
                <w:szCs w:val="20"/>
              </w:rPr>
            </w:pPr>
            <w:r w:rsidRPr="00AC25DF">
              <w:rPr>
                <w:i/>
                <w:sz w:val="20"/>
                <w:szCs w:val="20"/>
              </w:rPr>
              <w:t>96.67 to 100</w:t>
            </w:r>
          </w:p>
        </w:tc>
        <w:tc>
          <w:tcPr>
            <w:tcW w:w="1434" w:type="pct"/>
            <w:tcBorders>
              <w:top w:val="outset" w:sz="6" w:space="0" w:color="000000"/>
              <w:left w:val="outset" w:sz="6" w:space="0" w:color="000000"/>
              <w:bottom w:val="outset" w:sz="6" w:space="0" w:color="000000"/>
              <w:right w:val="outset" w:sz="6" w:space="0" w:color="000000"/>
            </w:tcBorders>
            <w:vAlign w:val="center"/>
          </w:tcPr>
          <w:p w14:paraId="55A54465" w14:textId="77777777" w:rsidR="00594EA4" w:rsidRPr="00AC25DF" w:rsidRDefault="00594EA4" w:rsidP="00C92757">
            <w:pPr>
              <w:rPr>
                <w:i/>
                <w:sz w:val="20"/>
                <w:szCs w:val="20"/>
              </w:rPr>
            </w:pPr>
          </w:p>
        </w:tc>
      </w:tr>
      <w:tr w:rsidR="00594EA4" w:rsidRPr="00AC25DF" w14:paraId="1DAFCB57" w14:textId="77777777" w:rsidTr="00C92757">
        <w:trPr>
          <w:trHeight w:val="20"/>
          <w:tblCellSpacing w:w="22" w:type="dxa"/>
          <w:jc w:val="center"/>
        </w:trPr>
        <w:tc>
          <w:tcPr>
            <w:tcW w:w="74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AEEF478" w14:textId="77777777" w:rsidR="00594EA4" w:rsidRPr="00AC25DF" w:rsidRDefault="00594EA4" w:rsidP="00C92757">
            <w:pPr>
              <w:rPr>
                <w:i/>
                <w:sz w:val="20"/>
                <w:szCs w:val="20"/>
              </w:rPr>
            </w:pPr>
            <w:r w:rsidRPr="00AC25DF">
              <w:rPr>
                <w:b/>
                <w:bCs/>
                <w:i/>
                <w:sz w:val="20"/>
                <w:szCs w:val="20"/>
              </w:rPr>
              <w:lastRenderedPageBreak/>
              <w:t>A</w:t>
            </w:r>
          </w:p>
        </w:tc>
        <w:tc>
          <w:tcPr>
            <w:tcW w:w="1239" w:type="pct"/>
            <w:tcBorders>
              <w:top w:val="outset" w:sz="6" w:space="0" w:color="000000"/>
              <w:left w:val="outset" w:sz="6" w:space="0" w:color="000000"/>
              <w:bottom w:val="outset" w:sz="6" w:space="0" w:color="000000"/>
              <w:right w:val="outset" w:sz="6" w:space="0" w:color="000000"/>
            </w:tcBorders>
            <w:vAlign w:val="center"/>
            <w:hideMark/>
          </w:tcPr>
          <w:p w14:paraId="5C254D4C" w14:textId="77777777" w:rsidR="00594EA4" w:rsidRPr="00AC25DF" w:rsidRDefault="00594EA4" w:rsidP="00C92757">
            <w:pPr>
              <w:rPr>
                <w:i/>
                <w:sz w:val="20"/>
                <w:szCs w:val="20"/>
              </w:rPr>
            </w:pPr>
            <w:r w:rsidRPr="00AC25DF">
              <w:rPr>
                <w:i/>
                <w:sz w:val="20"/>
                <w:szCs w:val="20"/>
              </w:rPr>
              <w:t>93.33 to &lt; 96.67</w:t>
            </w:r>
          </w:p>
        </w:tc>
        <w:tc>
          <w:tcPr>
            <w:tcW w:w="1390" w:type="pct"/>
            <w:tcBorders>
              <w:top w:val="outset" w:sz="6" w:space="0" w:color="000000"/>
              <w:left w:val="outset" w:sz="6" w:space="0" w:color="000000"/>
              <w:bottom w:val="outset" w:sz="6" w:space="0" w:color="000000"/>
              <w:right w:val="outset" w:sz="6" w:space="0" w:color="000000"/>
            </w:tcBorders>
            <w:vAlign w:val="center"/>
          </w:tcPr>
          <w:p w14:paraId="1E13552C" w14:textId="77777777" w:rsidR="00594EA4" w:rsidRPr="00AC25DF" w:rsidRDefault="00594EA4" w:rsidP="00C92757">
            <w:pPr>
              <w:rPr>
                <w:i/>
                <w:sz w:val="20"/>
                <w:szCs w:val="20"/>
              </w:rPr>
            </w:pPr>
            <w:r w:rsidRPr="00AC25DF">
              <w:rPr>
                <w:i/>
                <w:sz w:val="20"/>
                <w:szCs w:val="20"/>
              </w:rPr>
              <w:t>93.33 to &lt; 96.67</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66B7366C" w14:textId="77777777" w:rsidR="00594EA4" w:rsidRPr="00AC25DF" w:rsidRDefault="00594EA4" w:rsidP="00C92757">
            <w:pPr>
              <w:rPr>
                <w:i/>
                <w:sz w:val="20"/>
                <w:szCs w:val="20"/>
              </w:rPr>
            </w:pPr>
            <w:r w:rsidRPr="00AC25DF">
              <w:rPr>
                <w:i/>
                <w:sz w:val="20"/>
                <w:szCs w:val="20"/>
              </w:rPr>
              <w:t>Excellent</w:t>
            </w:r>
          </w:p>
        </w:tc>
      </w:tr>
      <w:tr w:rsidR="00594EA4" w:rsidRPr="00AC25DF" w14:paraId="09327E35"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7C1896FA" w14:textId="77777777" w:rsidR="00594EA4" w:rsidRPr="00AC25DF" w:rsidRDefault="00594EA4" w:rsidP="00C92757">
            <w:pPr>
              <w:rPr>
                <w:b/>
                <w:bCs/>
                <w:i/>
                <w:sz w:val="20"/>
                <w:szCs w:val="20"/>
              </w:rPr>
            </w:pPr>
            <w:r w:rsidRPr="00AC25DF">
              <w:rPr>
                <w:b/>
                <w:bCs/>
                <w:i/>
                <w:sz w:val="20"/>
                <w:szCs w:val="20"/>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5664F4DF" w14:textId="77777777" w:rsidR="00594EA4" w:rsidRPr="00AC25DF" w:rsidRDefault="00594EA4" w:rsidP="00C92757">
            <w:pPr>
              <w:rPr>
                <w:i/>
                <w:sz w:val="20"/>
                <w:szCs w:val="20"/>
              </w:rPr>
            </w:pPr>
            <w:r w:rsidRPr="00AC25DF">
              <w:rPr>
                <w:i/>
                <w:sz w:val="20"/>
                <w:szCs w:val="20"/>
              </w:rPr>
              <w:t>90.00 to &lt; 93.33</w:t>
            </w:r>
          </w:p>
        </w:tc>
        <w:tc>
          <w:tcPr>
            <w:tcW w:w="1390" w:type="pct"/>
            <w:tcBorders>
              <w:top w:val="outset" w:sz="6" w:space="0" w:color="000000"/>
              <w:left w:val="outset" w:sz="6" w:space="0" w:color="000000"/>
              <w:bottom w:val="outset" w:sz="6" w:space="0" w:color="000000"/>
              <w:right w:val="outset" w:sz="6" w:space="0" w:color="000000"/>
            </w:tcBorders>
            <w:vAlign w:val="center"/>
          </w:tcPr>
          <w:p w14:paraId="7A12F92F" w14:textId="77777777" w:rsidR="00594EA4" w:rsidRPr="00AC25DF" w:rsidRDefault="00594EA4" w:rsidP="00C92757">
            <w:pPr>
              <w:rPr>
                <w:i/>
                <w:sz w:val="20"/>
                <w:szCs w:val="20"/>
              </w:rPr>
            </w:pPr>
            <w:r w:rsidRPr="00AC25DF">
              <w:rPr>
                <w:i/>
                <w:sz w:val="20"/>
                <w:szCs w:val="20"/>
              </w:rPr>
              <w:t>90.00 to &lt; 93.33</w:t>
            </w:r>
          </w:p>
        </w:tc>
        <w:tc>
          <w:tcPr>
            <w:tcW w:w="1434" w:type="pct"/>
            <w:tcBorders>
              <w:top w:val="outset" w:sz="6" w:space="0" w:color="000000"/>
              <w:left w:val="outset" w:sz="6" w:space="0" w:color="000000"/>
              <w:bottom w:val="outset" w:sz="6" w:space="0" w:color="000000"/>
              <w:right w:val="outset" w:sz="6" w:space="0" w:color="000000"/>
            </w:tcBorders>
            <w:vAlign w:val="center"/>
          </w:tcPr>
          <w:p w14:paraId="44EE68AD" w14:textId="77777777" w:rsidR="00594EA4" w:rsidRPr="00AC25DF" w:rsidRDefault="00594EA4" w:rsidP="00C92757">
            <w:pPr>
              <w:rPr>
                <w:i/>
                <w:sz w:val="20"/>
                <w:szCs w:val="20"/>
              </w:rPr>
            </w:pPr>
          </w:p>
        </w:tc>
      </w:tr>
      <w:tr w:rsidR="00594EA4" w:rsidRPr="00AC25DF" w14:paraId="63F84F68"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7120640F" w14:textId="77777777" w:rsidR="00594EA4" w:rsidRPr="00AC25DF" w:rsidRDefault="00594EA4" w:rsidP="00C92757">
            <w:pPr>
              <w:rPr>
                <w:b/>
                <w:bCs/>
                <w:i/>
                <w:sz w:val="20"/>
                <w:szCs w:val="20"/>
              </w:rPr>
            </w:pPr>
            <w:r w:rsidRPr="00AC25DF">
              <w:rPr>
                <w:b/>
                <w:bCs/>
                <w:i/>
                <w:sz w:val="20"/>
                <w:szCs w:val="20"/>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02AB851F" w14:textId="77777777" w:rsidR="00594EA4" w:rsidRPr="00AC25DF" w:rsidRDefault="00594EA4" w:rsidP="00C92757">
            <w:pPr>
              <w:rPr>
                <w:i/>
                <w:sz w:val="20"/>
                <w:szCs w:val="20"/>
              </w:rPr>
            </w:pPr>
            <w:r w:rsidRPr="00AC25DF">
              <w:rPr>
                <w:i/>
                <w:sz w:val="20"/>
                <w:szCs w:val="20"/>
              </w:rPr>
              <w:t>86.67 to &lt; 90.00</w:t>
            </w:r>
          </w:p>
        </w:tc>
        <w:tc>
          <w:tcPr>
            <w:tcW w:w="1390" w:type="pct"/>
            <w:tcBorders>
              <w:top w:val="outset" w:sz="6" w:space="0" w:color="000000"/>
              <w:left w:val="outset" w:sz="6" w:space="0" w:color="000000"/>
              <w:bottom w:val="outset" w:sz="6" w:space="0" w:color="000000"/>
              <w:right w:val="outset" w:sz="6" w:space="0" w:color="000000"/>
            </w:tcBorders>
            <w:vAlign w:val="center"/>
          </w:tcPr>
          <w:p w14:paraId="091E9882" w14:textId="77777777" w:rsidR="00594EA4" w:rsidRPr="00AC25DF" w:rsidRDefault="00594EA4" w:rsidP="00C92757">
            <w:pPr>
              <w:rPr>
                <w:i/>
                <w:sz w:val="20"/>
                <w:szCs w:val="20"/>
              </w:rPr>
            </w:pPr>
            <w:r w:rsidRPr="00AC25DF">
              <w:rPr>
                <w:i/>
                <w:sz w:val="20"/>
                <w:szCs w:val="20"/>
              </w:rPr>
              <w:t>86.67 to &lt; 90.00</w:t>
            </w:r>
          </w:p>
        </w:tc>
        <w:tc>
          <w:tcPr>
            <w:tcW w:w="1434" w:type="pct"/>
            <w:tcBorders>
              <w:top w:val="outset" w:sz="6" w:space="0" w:color="000000"/>
              <w:left w:val="outset" w:sz="6" w:space="0" w:color="000000"/>
              <w:bottom w:val="outset" w:sz="6" w:space="0" w:color="000000"/>
              <w:right w:val="outset" w:sz="6" w:space="0" w:color="000000"/>
            </w:tcBorders>
            <w:vAlign w:val="center"/>
          </w:tcPr>
          <w:p w14:paraId="75CD6714" w14:textId="77777777" w:rsidR="00594EA4" w:rsidRPr="00AC25DF" w:rsidRDefault="00594EA4" w:rsidP="00C92757">
            <w:pPr>
              <w:rPr>
                <w:i/>
                <w:sz w:val="20"/>
                <w:szCs w:val="20"/>
              </w:rPr>
            </w:pPr>
          </w:p>
        </w:tc>
      </w:tr>
      <w:tr w:rsidR="00594EA4" w:rsidRPr="00AC25DF" w14:paraId="579DC26E"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80B4217" w14:textId="77777777" w:rsidR="00594EA4" w:rsidRPr="00AC25DF" w:rsidRDefault="00594EA4" w:rsidP="00C92757">
            <w:pPr>
              <w:rPr>
                <w:i/>
                <w:sz w:val="20"/>
                <w:szCs w:val="20"/>
              </w:rPr>
            </w:pPr>
            <w:r w:rsidRPr="00AC25DF">
              <w:rPr>
                <w:b/>
                <w:bCs/>
                <w:i/>
                <w:sz w:val="20"/>
                <w:szCs w:val="20"/>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F3491D" w14:textId="77777777" w:rsidR="00594EA4" w:rsidRPr="00AC25DF" w:rsidRDefault="00594EA4" w:rsidP="00C92757">
            <w:pPr>
              <w:rPr>
                <w:i/>
                <w:sz w:val="20"/>
                <w:szCs w:val="20"/>
              </w:rPr>
            </w:pPr>
            <w:r w:rsidRPr="00AC25DF">
              <w:rPr>
                <w:i/>
                <w:sz w:val="20"/>
                <w:szCs w:val="20"/>
              </w:rPr>
              <w:t>83.33 to &lt; 86.67</w:t>
            </w:r>
          </w:p>
        </w:tc>
        <w:tc>
          <w:tcPr>
            <w:tcW w:w="1390" w:type="pct"/>
            <w:tcBorders>
              <w:top w:val="outset" w:sz="6" w:space="0" w:color="000000"/>
              <w:left w:val="outset" w:sz="6" w:space="0" w:color="000000"/>
              <w:bottom w:val="outset" w:sz="6" w:space="0" w:color="000000"/>
              <w:right w:val="outset" w:sz="6" w:space="0" w:color="000000"/>
            </w:tcBorders>
            <w:vAlign w:val="center"/>
          </w:tcPr>
          <w:p w14:paraId="7A48D8CA" w14:textId="77777777" w:rsidR="00594EA4" w:rsidRPr="00AC25DF" w:rsidRDefault="00594EA4" w:rsidP="00C92757">
            <w:pPr>
              <w:rPr>
                <w:i/>
                <w:sz w:val="20"/>
                <w:szCs w:val="20"/>
              </w:rPr>
            </w:pPr>
            <w:r w:rsidRPr="00AC25DF">
              <w:rPr>
                <w:i/>
                <w:sz w:val="20"/>
                <w:szCs w:val="20"/>
              </w:rPr>
              <w:t>83.33 to &lt; 86.67</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7B1B5F1" w14:textId="77777777" w:rsidR="00594EA4" w:rsidRPr="00AC25DF" w:rsidRDefault="00594EA4" w:rsidP="00C92757">
            <w:pPr>
              <w:rPr>
                <w:i/>
                <w:sz w:val="20"/>
                <w:szCs w:val="20"/>
              </w:rPr>
            </w:pPr>
            <w:r w:rsidRPr="00AC25DF">
              <w:rPr>
                <w:i/>
                <w:sz w:val="20"/>
                <w:szCs w:val="20"/>
              </w:rPr>
              <w:t>Above Average</w:t>
            </w:r>
          </w:p>
        </w:tc>
      </w:tr>
      <w:tr w:rsidR="00594EA4" w:rsidRPr="00AC25DF" w14:paraId="6B481F0B"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5A38D4AB" w14:textId="77777777" w:rsidR="00594EA4" w:rsidRPr="00AC25DF" w:rsidRDefault="00594EA4" w:rsidP="00C92757">
            <w:pPr>
              <w:rPr>
                <w:b/>
                <w:bCs/>
                <w:i/>
                <w:sz w:val="20"/>
                <w:szCs w:val="20"/>
              </w:rPr>
            </w:pPr>
            <w:r w:rsidRPr="00AC25DF">
              <w:rPr>
                <w:b/>
                <w:bCs/>
                <w:i/>
                <w:sz w:val="20"/>
                <w:szCs w:val="20"/>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514394BD" w14:textId="77777777" w:rsidR="00594EA4" w:rsidRPr="00AC25DF" w:rsidRDefault="00594EA4" w:rsidP="00C92757">
            <w:pPr>
              <w:rPr>
                <w:i/>
                <w:sz w:val="20"/>
                <w:szCs w:val="20"/>
              </w:rPr>
            </w:pPr>
            <w:r w:rsidRPr="00AC25DF">
              <w:rPr>
                <w:i/>
                <w:sz w:val="20"/>
                <w:szCs w:val="20"/>
              </w:rPr>
              <w:t>80.00 to &lt; 83.33</w:t>
            </w:r>
          </w:p>
        </w:tc>
        <w:tc>
          <w:tcPr>
            <w:tcW w:w="1390" w:type="pct"/>
            <w:tcBorders>
              <w:top w:val="outset" w:sz="6" w:space="0" w:color="000000"/>
              <w:left w:val="outset" w:sz="6" w:space="0" w:color="000000"/>
              <w:bottom w:val="outset" w:sz="6" w:space="0" w:color="000000"/>
              <w:right w:val="outset" w:sz="6" w:space="0" w:color="000000"/>
            </w:tcBorders>
            <w:vAlign w:val="center"/>
          </w:tcPr>
          <w:p w14:paraId="28ADF0BA" w14:textId="77777777" w:rsidR="00594EA4" w:rsidRPr="00AC25DF" w:rsidRDefault="00594EA4" w:rsidP="00C92757">
            <w:pPr>
              <w:rPr>
                <w:i/>
                <w:sz w:val="20"/>
                <w:szCs w:val="20"/>
              </w:rPr>
            </w:pPr>
            <w:r w:rsidRPr="00AC25DF">
              <w:rPr>
                <w:i/>
                <w:sz w:val="20"/>
                <w:szCs w:val="20"/>
              </w:rPr>
              <w:t>80.00 to &lt; 83.33</w:t>
            </w:r>
          </w:p>
        </w:tc>
        <w:tc>
          <w:tcPr>
            <w:tcW w:w="1434" w:type="pct"/>
            <w:tcBorders>
              <w:top w:val="outset" w:sz="6" w:space="0" w:color="000000"/>
              <w:left w:val="outset" w:sz="6" w:space="0" w:color="000000"/>
              <w:bottom w:val="outset" w:sz="6" w:space="0" w:color="000000"/>
              <w:right w:val="outset" w:sz="6" w:space="0" w:color="000000"/>
            </w:tcBorders>
            <w:vAlign w:val="center"/>
          </w:tcPr>
          <w:p w14:paraId="33F8CFC9" w14:textId="77777777" w:rsidR="00594EA4" w:rsidRPr="00AC25DF" w:rsidRDefault="00594EA4" w:rsidP="00C92757">
            <w:pPr>
              <w:rPr>
                <w:i/>
                <w:sz w:val="20"/>
                <w:szCs w:val="20"/>
              </w:rPr>
            </w:pPr>
          </w:p>
        </w:tc>
      </w:tr>
      <w:tr w:rsidR="00594EA4" w:rsidRPr="00AC25DF" w14:paraId="01E7BEE2"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48DBDEB5" w14:textId="77777777" w:rsidR="00594EA4" w:rsidRPr="00AC25DF" w:rsidRDefault="00594EA4" w:rsidP="00C92757">
            <w:pPr>
              <w:rPr>
                <w:b/>
                <w:bCs/>
                <w:i/>
                <w:sz w:val="20"/>
                <w:szCs w:val="20"/>
              </w:rPr>
            </w:pPr>
            <w:r w:rsidRPr="00AC25DF">
              <w:rPr>
                <w:b/>
                <w:bCs/>
                <w:i/>
                <w:sz w:val="20"/>
                <w:szCs w:val="20"/>
              </w:rPr>
              <w:t>C+</w:t>
            </w:r>
          </w:p>
        </w:tc>
        <w:tc>
          <w:tcPr>
            <w:tcW w:w="0" w:type="auto"/>
            <w:tcBorders>
              <w:top w:val="outset" w:sz="6" w:space="0" w:color="000000"/>
              <w:left w:val="outset" w:sz="6" w:space="0" w:color="000000"/>
              <w:bottom w:val="outset" w:sz="6" w:space="0" w:color="000000"/>
              <w:right w:val="outset" w:sz="6" w:space="0" w:color="000000"/>
            </w:tcBorders>
            <w:vAlign w:val="center"/>
          </w:tcPr>
          <w:p w14:paraId="35FBAD61" w14:textId="77777777" w:rsidR="00594EA4" w:rsidRPr="00AC25DF" w:rsidRDefault="00594EA4" w:rsidP="00C92757">
            <w:pPr>
              <w:rPr>
                <w:i/>
                <w:sz w:val="20"/>
                <w:szCs w:val="20"/>
              </w:rPr>
            </w:pPr>
            <w:r w:rsidRPr="00AC25DF">
              <w:rPr>
                <w:i/>
                <w:sz w:val="20"/>
                <w:szCs w:val="20"/>
              </w:rPr>
              <w:t>76.67 to &lt; 80.00</w:t>
            </w:r>
          </w:p>
        </w:tc>
        <w:tc>
          <w:tcPr>
            <w:tcW w:w="1390" w:type="pct"/>
            <w:tcBorders>
              <w:top w:val="outset" w:sz="6" w:space="0" w:color="000000"/>
              <w:left w:val="outset" w:sz="6" w:space="0" w:color="000000"/>
              <w:bottom w:val="outset" w:sz="6" w:space="0" w:color="000000"/>
              <w:right w:val="outset" w:sz="6" w:space="0" w:color="000000"/>
            </w:tcBorders>
            <w:vAlign w:val="center"/>
          </w:tcPr>
          <w:p w14:paraId="13374419" w14:textId="77777777" w:rsidR="00594EA4" w:rsidRPr="00AC25DF" w:rsidRDefault="00594EA4" w:rsidP="00C92757">
            <w:pPr>
              <w:rPr>
                <w:i/>
                <w:sz w:val="20"/>
                <w:szCs w:val="20"/>
              </w:rPr>
            </w:pPr>
            <w:r w:rsidRPr="00AC25DF">
              <w:rPr>
                <w:i/>
                <w:sz w:val="20"/>
                <w:szCs w:val="20"/>
              </w:rPr>
              <w:t>76.67 to &lt; 80.00</w:t>
            </w:r>
          </w:p>
        </w:tc>
        <w:tc>
          <w:tcPr>
            <w:tcW w:w="1434" w:type="pct"/>
            <w:tcBorders>
              <w:top w:val="outset" w:sz="6" w:space="0" w:color="000000"/>
              <w:left w:val="outset" w:sz="6" w:space="0" w:color="000000"/>
              <w:bottom w:val="outset" w:sz="6" w:space="0" w:color="000000"/>
              <w:right w:val="outset" w:sz="6" w:space="0" w:color="000000"/>
            </w:tcBorders>
            <w:vAlign w:val="center"/>
          </w:tcPr>
          <w:p w14:paraId="4A3C2F19" w14:textId="77777777" w:rsidR="00594EA4" w:rsidRPr="00AC25DF" w:rsidRDefault="00594EA4" w:rsidP="00C92757">
            <w:pPr>
              <w:rPr>
                <w:i/>
                <w:sz w:val="20"/>
                <w:szCs w:val="20"/>
              </w:rPr>
            </w:pPr>
          </w:p>
        </w:tc>
      </w:tr>
      <w:tr w:rsidR="00594EA4" w:rsidRPr="00AC25DF" w14:paraId="55008A40"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14:paraId="32928DB0" w14:textId="77777777" w:rsidR="00594EA4" w:rsidRPr="00AC25DF" w:rsidRDefault="00594EA4" w:rsidP="00C92757">
            <w:pPr>
              <w:rPr>
                <w:i/>
                <w:sz w:val="20"/>
                <w:szCs w:val="20"/>
              </w:rPr>
            </w:pPr>
            <w:r w:rsidRPr="00AC25DF">
              <w:rPr>
                <w:b/>
                <w:bCs/>
                <w:i/>
                <w:sz w:val="20"/>
                <w:szCs w:val="20"/>
              </w:rPr>
              <w:t>C</w:t>
            </w:r>
          </w:p>
        </w:tc>
        <w:tc>
          <w:tcPr>
            <w:tcW w:w="0" w:type="auto"/>
            <w:tcBorders>
              <w:top w:val="outset" w:sz="6" w:space="0" w:color="000000"/>
              <w:left w:val="outset" w:sz="6" w:space="0" w:color="000000"/>
              <w:bottom w:val="outset" w:sz="6" w:space="0" w:color="000000"/>
              <w:right w:val="outset" w:sz="6" w:space="0" w:color="000000"/>
            </w:tcBorders>
            <w:vAlign w:val="center"/>
          </w:tcPr>
          <w:p w14:paraId="3B526B83" w14:textId="77777777" w:rsidR="00594EA4" w:rsidRPr="00AC25DF" w:rsidRDefault="00594EA4" w:rsidP="00C92757">
            <w:pPr>
              <w:rPr>
                <w:i/>
                <w:sz w:val="20"/>
                <w:szCs w:val="20"/>
              </w:rPr>
            </w:pPr>
            <w:r w:rsidRPr="00AC25DF">
              <w:rPr>
                <w:i/>
                <w:sz w:val="20"/>
                <w:szCs w:val="20"/>
              </w:rPr>
              <w:t>70.00 to &lt; 76.67</w:t>
            </w:r>
          </w:p>
        </w:tc>
        <w:tc>
          <w:tcPr>
            <w:tcW w:w="1390" w:type="pct"/>
            <w:tcBorders>
              <w:top w:val="outset" w:sz="6" w:space="0" w:color="000000"/>
              <w:left w:val="outset" w:sz="6" w:space="0" w:color="000000"/>
              <w:bottom w:val="outset" w:sz="6" w:space="0" w:color="000000"/>
              <w:right w:val="outset" w:sz="6" w:space="0" w:color="000000"/>
            </w:tcBorders>
            <w:vAlign w:val="center"/>
          </w:tcPr>
          <w:p w14:paraId="63F35183" w14:textId="77777777" w:rsidR="00594EA4" w:rsidRPr="00AC25DF" w:rsidRDefault="00594EA4" w:rsidP="00C92757">
            <w:pPr>
              <w:rPr>
                <w:i/>
                <w:sz w:val="20"/>
                <w:szCs w:val="20"/>
              </w:rPr>
            </w:pPr>
            <w:r w:rsidRPr="00AC25DF">
              <w:rPr>
                <w:i/>
                <w:sz w:val="20"/>
                <w:szCs w:val="20"/>
              </w:rPr>
              <w:t>70.00 to &lt; 76.67</w:t>
            </w:r>
          </w:p>
        </w:tc>
        <w:tc>
          <w:tcPr>
            <w:tcW w:w="1434" w:type="pct"/>
            <w:tcBorders>
              <w:top w:val="outset" w:sz="6" w:space="0" w:color="000000"/>
              <w:left w:val="outset" w:sz="6" w:space="0" w:color="000000"/>
              <w:bottom w:val="outset" w:sz="6" w:space="0" w:color="000000"/>
              <w:right w:val="outset" w:sz="6" w:space="0" w:color="000000"/>
            </w:tcBorders>
            <w:vAlign w:val="center"/>
          </w:tcPr>
          <w:p w14:paraId="088AEF07" w14:textId="77777777" w:rsidR="00594EA4" w:rsidRPr="00AC25DF" w:rsidRDefault="00594EA4" w:rsidP="00C92757">
            <w:pPr>
              <w:rPr>
                <w:i/>
                <w:sz w:val="20"/>
                <w:szCs w:val="20"/>
              </w:rPr>
            </w:pPr>
            <w:r w:rsidRPr="00AC25DF">
              <w:rPr>
                <w:i/>
                <w:sz w:val="20"/>
                <w:szCs w:val="20"/>
              </w:rPr>
              <w:t>Average</w:t>
            </w:r>
          </w:p>
        </w:tc>
      </w:tr>
      <w:tr w:rsidR="00594EA4" w:rsidRPr="00AC25DF" w14:paraId="16852895"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10C4A79F" w14:textId="77777777" w:rsidR="00594EA4" w:rsidRPr="00AC25DF" w:rsidRDefault="00594EA4" w:rsidP="00C92757">
            <w:pPr>
              <w:rPr>
                <w:i/>
                <w:sz w:val="20"/>
                <w:szCs w:val="20"/>
              </w:rPr>
            </w:pPr>
            <w:r w:rsidRPr="00AC25DF">
              <w:rPr>
                <w:b/>
                <w:bCs/>
                <w:i/>
                <w:sz w:val="20"/>
                <w:szCs w:val="20"/>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5F4797" w14:textId="77777777" w:rsidR="00594EA4" w:rsidRPr="00AC25DF" w:rsidRDefault="00594EA4" w:rsidP="00C92757">
            <w:pPr>
              <w:rPr>
                <w:i/>
                <w:sz w:val="20"/>
                <w:szCs w:val="20"/>
              </w:rPr>
            </w:pPr>
            <w:r w:rsidRPr="00AC25DF">
              <w:rPr>
                <w:i/>
                <w:sz w:val="20"/>
                <w:szCs w:val="20"/>
              </w:rPr>
              <w:t>60.00 to &lt; 70.00</w:t>
            </w:r>
          </w:p>
        </w:tc>
        <w:tc>
          <w:tcPr>
            <w:tcW w:w="1390" w:type="pct"/>
            <w:tcBorders>
              <w:top w:val="outset" w:sz="6" w:space="0" w:color="000000"/>
              <w:left w:val="outset" w:sz="6" w:space="0" w:color="000000"/>
              <w:bottom w:val="outset" w:sz="6" w:space="0" w:color="000000"/>
              <w:right w:val="outset" w:sz="6" w:space="0" w:color="000000"/>
            </w:tcBorders>
            <w:vAlign w:val="center"/>
          </w:tcPr>
          <w:p w14:paraId="594A5AF9" w14:textId="77777777" w:rsidR="00594EA4" w:rsidRPr="00AC25DF" w:rsidRDefault="00594EA4" w:rsidP="00C92757">
            <w:pPr>
              <w:rPr>
                <w:i/>
                <w:sz w:val="20"/>
                <w:szCs w:val="20"/>
              </w:rPr>
            </w:pPr>
            <w:r w:rsidRPr="00AC25DF">
              <w:rPr>
                <w:i/>
                <w:sz w:val="20"/>
                <w:szCs w:val="20"/>
              </w:rPr>
              <w:t>60.00 to &lt; 70.00</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1490EA9C" w14:textId="77777777" w:rsidR="00594EA4" w:rsidRPr="00AC25DF" w:rsidRDefault="00594EA4" w:rsidP="00C92757">
            <w:pPr>
              <w:rPr>
                <w:i/>
                <w:sz w:val="20"/>
                <w:szCs w:val="20"/>
              </w:rPr>
            </w:pPr>
            <w:r w:rsidRPr="00AC25DF">
              <w:rPr>
                <w:i/>
                <w:sz w:val="20"/>
                <w:szCs w:val="20"/>
              </w:rPr>
              <w:t>Below Average</w:t>
            </w:r>
          </w:p>
        </w:tc>
      </w:tr>
      <w:tr w:rsidR="00594EA4" w:rsidRPr="00AC25DF" w14:paraId="38EDC02C" w14:textId="77777777" w:rsidTr="00C92757">
        <w:trPr>
          <w:trHeight w:val="20"/>
          <w:tblCellSpacing w:w="22"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D72A1AA" w14:textId="77777777" w:rsidR="00594EA4" w:rsidRPr="00AC25DF" w:rsidRDefault="00594EA4" w:rsidP="00C92757">
            <w:pPr>
              <w:rPr>
                <w:b/>
                <w:i/>
                <w:sz w:val="20"/>
                <w:szCs w:val="20"/>
              </w:rPr>
            </w:pPr>
            <w:r w:rsidRPr="00AC25DF">
              <w:rPr>
                <w:b/>
                <w:i/>
                <w:sz w:val="20"/>
                <w:szCs w:val="20"/>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B0BFD1" w14:textId="77777777" w:rsidR="00594EA4" w:rsidRPr="00AC25DF" w:rsidRDefault="00594EA4" w:rsidP="00C92757">
            <w:pPr>
              <w:rPr>
                <w:i/>
                <w:sz w:val="20"/>
                <w:szCs w:val="20"/>
              </w:rPr>
            </w:pPr>
            <w:r w:rsidRPr="00AC25DF">
              <w:rPr>
                <w:i/>
                <w:sz w:val="20"/>
                <w:szCs w:val="20"/>
              </w:rPr>
              <w:t xml:space="preserve"> 0.00 to &lt; 60.00</w:t>
            </w:r>
          </w:p>
        </w:tc>
        <w:tc>
          <w:tcPr>
            <w:tcW w:w="1390" w:type="pct"/>
            <w:tcBorders>
              <w:top w:val="outset" w:sz="6" w:space="0" w:color="000000"/>
              <w:left w:val="outset" w:sz="6" w:space="0" w:color="000000"/>
              <w:bottom w:val="outset" w:sz="6" w:space="0" w:color="000000"/>
              <w:right w:val="outset" w:sz="6" w:space="0" w:color="000000"/>
            </w:tcBorders>
            <w:vAlign w:val="center"/>
            <w:hideMark/>
          </w:tcPr>
          <w:p w14:paraId="74BB6C38" w14:textId="77777777" w:rsidR="00594EA4" w:rsidRPr="00AC25DF" w:rsidRDefault="00594EA4" w:rsidP="00C92757">
            <w:pPr>
              <w:rPr>
                <w:i/>
                <w:sz w:val="20"/>
                <w:szCs w:val="20"/>
              </w:rPr>
            </w:pPr>
            <w:r w:rsidRPr="00AC25DF">
              <w:rPr>
                <w:i/>
                <w:sz w:val="20"/>
                <w:szCs w:val="20"/>
              </w:rPr>
              <w:t xml:space="preserve"> 0.00 to &lt; 60.00</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533A27F" w14:textId="77777777" w:rsidR="00594EA4" w:rsidRPr="00AC25DF" w:rsidRDefault="00594EA4" w:rsidP="00C92757">
            <w:pPr>
              <w:rPr>
                <w:i/>
                <w:sz w:val="20"/>
                <w:szCs w:val="20"/>
              </w:rPr>
            </w:pPr>
            <w:r w:rsidRPr="00AC25DF">
              <w:rPr>
                <w:i/>
                <w:sz w:val="20"/>
                <w:szCs w:val="20"/>
              </w:rPr>
              <w:t>Failure</w:t>
            </w:r>
          </w:p>
        </w:tc>
      </w:tr>
    </w:tbl>
    <w:p w14:paraId="743A6D27" w14:textId="70FF4A52" w:rsidR="00022CB5" w:rsidRDefault="00022CB5" w:rsidP="00DB0240">
      <w:pPr>
        <w:rPr>
          <w:sz w:val="20"/>
          <w:szCs w:val="20"/>
        </w:rPr>
      </w:pPr>
    </w:p>
    <w:p w14:paraId="0CD30DB9" w14:textId="74DD5F88" w:rsidR="00022CB5" w:rsidRDefault="00022CB5" w:rsidP="00DB0240">
      <w:pPr>
        <w:rPr>
          <w:sz w:val="20"/>
          <w:szCs w:val="20"/>
        </w:rPr>
      </w:pPr>
    </w:p>
    <w:p w14:paraId="6BA6DA31" w14:textId="77777777" w:rsidR="00022CB5" w:rsidRPr="00DB0240" w:rsidRDefault="00022CB5" w:rsidP="00DB0240">
      <w:pPr>
        <w:rPr>
          <w:sz w:val="20"/>
          <w:szCs w:val="20"/>
        </w:rPr>
      </w:pPr>
    </w:p>
    <w:p w14:paraId="7420D31D" w14:textId="23B60C67" w:rsidR="003B046B" w:rsidRDefault="006D6234" w:rsidP="006D6234">
      <w:pPr>
        <w:pStyle w:val="Heading1"/>
      </w:pPr>
      <w:r>
        <w:t>Policy on Due Dates</w:t>
      </w:r>
    </w:p>
    <w:p w14:paraId="75F6C8AA" w14:textId="51A12345" w:rsidR="001256A1" w:rsidRPr="00036A06" w:rsidRDefault="00CD1F0D" w:rsidP="00DB0240">
      <w:pPr>
        <w:pStyle w:val="NoSpacing"/>
        <w:rPr>
          <w:lang w:val="en-GB"/>
        </w:rPr>
      </w:pPr>
      <w:r>
        <w:rPr>
          <w:rFonts w:eastAsia="Times New Roman"/>
        </w:rPr>
        <w:t>Writing Assignments</w:t>
      </w:r>
      <w:r w:rsidR="006124EC">
        <w:rPr>
          <w:rFonts w:eastAsia="Times New Roman"/>
        </w:rPr>
        <w:t xml:space="preserve"> may be submitted</w:t>
      </w:r>
      <w:r w:rsidR="00CD43B6" w:rsidRPr="00036A06">
        <w:rPr>
          <w:lang w:val="en-GB"/>
        </w:rPr>
        <w:t xml:space="preserve"> after the due date</w:t>
      </w:r>
      <w:r>
        <w:rPr>
          <w:lang w:val="en-GB"/>
        </w:rPr>
        <w:t xml:space="preserve"> and</w:t>
      </w:r>
      <w:r w:rsidR="00CD43B6" w:rsidRPr="00036A06">
        <w:rPr>
          <w:lang w:val="en-GB"/>
        </w:rPr>
        <w:t xml:space="preserve"> </w:t>
      </w:r>
      <w:r>
        <w:rPr>
          <w:lang w:val="en-GB"/>
        </w:rPr>
        <w:t>with a penalty of</w:t>
      </w:r>
      <w:r w:rsidR="00CD43B6" w:rsidRPr="00036A06">
        <w:rPr>
          <w:lang w:val="en-GB"/>
        </w:rPr>
        <w:t xml:space="preserve"> </w:t>
      </w:r>
      <w:r w:rsidR="00C97C19">
        <w:rPr>
          <w:lang w:val="en-GB"/>
        </w:rPr>
        <w:t>10</w:t>
      </w:r>
      <w:r w:rsidR="00CD43B6" w:rsidRPr="00036A06">
        <w:rPr>
          <w:lang w:val="en-GB"/>
        </w:rPr>
        <w:t xml:space="preserve">% for each day late. </w:t>
      </w:r>
    </w:p>
    <w:p w14:paraId="11D5F148" w14:textId="77777777" w:rsidR="006124EC" w:rsidRDefault="006124EC" w:rsidP="00DB0240">
      <w:pPr>
        <w:pStyle w:val="NoSpacing"/>
        <w:rPr>
          <w:lang w:val="en-GB"/>
        </w:rPr>
      </w:pPr>
    </w:p>
    <w:p w14:paraId="0D7ACBDA" w14:textId="11C08A4F" w:rsidR="00880DA8" w:rsidRDefault="006E4FC6" w:rsidP="00DB0240">
      <w:pPr>
        <w:pStyle w:val="NoSpacing"/>
        <w:rPr>
          <w:lang w:val="en-GB"/>
        </w:rPr>
      </w:pPr>
      <w:r>
        <w:rPr>
          <w:lang w:val="en-GB"/>
        </w:rPr>
        <w:t xml:space="preserve">Makeup content quizzes will not be allowed since answers will be available once the deadline passes. As an added incentive to study for the final content quiz, I will replace each student’s lowest content quiz score with their final exam score, provided that doing so is an improvement to their grade. </w:t>
      </w:r>
    </w:p>
    <w:p w14:paraId="6B81A2C3" w14:textId="77777777" w:rsidR="00880DA8" w:rsidRPr="00036A06" w:rsidRDefault="00880DA8" w:rsidP="00DB0240">
      <w:pPr>
        <w:pStyle w:val="NoSpacing"/>
        <w:rPr>
          <w:lang w:val="en-GB"/>
        </w:rPr>
      </w:pPr>
    </w:p>
    <w:p w14:paraId="2E36EBCB" w14:textId="77777777" w:rsidR="00725942" w:rsidRPr="00F2090F" w:rsidRDefault="00725942" w:rsidP="00725942">
      <w:pPr>
        <w:pStyle w:val="Heading2"/>
        <w:spacing w:line="240" w:lineRule="auto"/>
        <w:rPr>
          <w:sz w:val="32"/>
          <w:szCs w:val="32"/>
        </w:rPr>
      </w:pPr>
      <w:r>
        <w:rPr>
          <w:sz w:val="32"/>
          <w:szCs w:val="32"/>
        </w:rPr>
        <w:t>Weekly</w:t>
      </w:r>
      <w:r w:rsidRPr="00F2090F">
        <w:rPr>
          <w:sz w:val="32"/>
          <w:szCs w:val="32"/>
        </w:rPr>
        <w:t xml:space="preserve"> Course Time Estimates</w:t>
      </w:r>
    </w:p>
    <w:p w14:paraId="0C008425" w14:textId="77777777" w:rsidR="00725942" w:rsidRDefault="00725942" w:rsidP="00725942">
      <w:pPr>
        <w:pStyle w:val="IndentedList"/>
        <w:spacing w:line="240" w:lineRule="auto"/>
      </w:pPr>
      <w:r>
        <w:t>Attend class</w:t>
      </w:r>
      <w:r>
        <w:tab/>
        <w:t xml:space="preserve"> </w:t>
      </w:r>
      <w:r>
        <w:tab/>
      </w:r>
      <w:r>
        <w:tab/>
      </w:r>
      <w:r>
        <w:tab/>
      </w:r>
      <w:proofErr w:type="gramStart"/>
      <w:r>
        <w:tab/>
        <w:t xml:space="preserve">  3</w:t>
      </w:r>
      <w:proofErr w:type="gramEnd"/>
      <w:r>
        <w:t xml:space="preserve"> hours</w:t>
      </w:r>
    </w:p>
    <w:p w14:paraId="0ADA382A" w14:textId="2D294295" w:rsidR="00725942" w:rsidRDefault="003C7F85" w:rsidP="00725942">
      <w:pPr>
        <w:pStyle w:val="IndentedList"/>
        <w:spacing w:line="240" w:lineRule="auto"/>
      </w:pPr>
      <w:r>
        <w:t>Required Readings</w:t>
      </w:r>
      <w:r w:rsidR="00725942">
        <w:tab/>
      </w:r>
      <w:r w:rsidR="00725942">
        <w:tab/>
      </w:r>
      <w:r w:rsidR="00725942">
        <w:tab/>
      </w:r>
      <w:proofErr w:type="gramStart"/>
      <w:r w:rsidR="00725942">
        <w:tab/>
        <w:t xml:space="preserve">  </w:t>
      </w:r>
      <w:r w:rsidR="006E4FC6">
        <w:t>3</w:t>
      </w:r>
      <w:proofErr w:type="gramEnd"/>
      <w:r w:rsidR="00725942">
        <w:t xml:space="preserve"> hours</w:t>
      </w:r>
    </w:p>
    <w:p w14:paraId="70A969FD" w14:textId="438A2DA5" w:rsidR="00725942" w:rsidRDefault="006E4FC6" w:rsidP="00725942">
      <w:pPr>
        <w:pStyle w:val="IndentedList"/>
        <w:spacing w:line="240" w:lineRule="auto"/>
      </w:pPr>
      <w:r>
        <w:lastRenderedPageBreak/>
        <w:t>Discussion Posts</w:t>
      </w:r>
      <w:r>
        <w:tab/>
      </w:r>
      <w:r w:rsidR="00725942">
        <w:tab/>
      </w:r>
      <w:r w:rsidR="00725942">
        <w:tab/>
      </w:r>
      <w:proofErr w:type="gramStart"/>
      <w:r w:rsidR="00725942">
        <w:tab/>
        <w:t xml:space="preserve">  </w:t>
      </w:r>
      <w:r>
        <w:t>1</w:t>
      </w:r>
      <w:proofErr w:type="gramEnd"/>
      <w:r w:rsidR="00725942">
        <w:t xml:space="preserve"> hour</w:t>
      </w:r>
    </w:p>
    <w:p w14:paraId="5C8CE69D" w14:textId="535E8A9F" w:rsidR="001560E1" w:rsidRDefault="001560E1" w:rsidP="00725942">
      <w:pPr>
        <w:pStyle w:val="IndentedList"/>
        <w:spacing w:line="240" w:lineRule="auto"/>
      </w:pPr>
      <w:r>
        <w:t>Writing Assignments</w:t>
      </w:r>
      <w:r>
        <w:tab/>
      </w:r>
      <w:r>
        <w:tab/>
      </w:r>
      <w:r>
        <w:tab/>
      </w:r>
      <w:proofErr w:type="gramStart"/>
      <w:r>
        <w:tab/>
        <w:t xml:space="preserve">  2</w:t>
      </w:r>
      <w:proofErr w:type="gramEnd"/>
      <w:r>
        <w:t xml:space="preserve"> hours</w:t>
      </w:r>
    </w:p>
    <w:p w14:paraId="3D62DA43" w14:textId="22A27D34" w:rsidR="00036A06" w:rsidRPr="008F3337" w:rsidRDefault="00725942" w:rsidP="00725942">
      <w:pPr>
        <w:pStyle w:val="IndentedList"/>
        <w:spacing w:line="240" w:lineRule="auto"/>
      </w:pPr>
      <w:r>
        <w:t>Total hours/week</w:t>
      </w:r>
      <w:r>
        <w:tab/>
      </w:r>
      <w:r>
        <w:tab/>
        <w:t xml:space="preserve">                               </w:t>
      </w:r>
      <w:r w:rsidR="001560E1">
        <w:t>9</w:t>
      </w:r>
      <w:r>
        <w:t xml:space="preserve"> hours </w:t>
      </w:r>
      <w:r>
        <w:tab/>
      </w:r>
      <w:r w:rsidR="00C435F3" w:rsidRPr="00036A06">
        <w:tab/>
      </w:r>
    </w:p>
    <w:p w14:paraId="7351B94C" w14:textId="77777777" w:rsidR="00880DA8" w:rsidRDefault="00880DA8" w:rsidP="00880DA8">
      <w:pPr>
        <w:pStyle w:val="Heading1"/>
        <w:rPr>
          <w:rFonts w:eastAsia="Calibri"/>
        </w:rPr>
      </w:pPr>
      <w:r w:rsidRPr="00391CB7">
        <w:rPr>
          <w:rFonts w:eastAsia="Calibri"/>
        </w:rPr>
        <w:t xml:space="preserve">Important </w:t>
      </w:r>
      <w:r>
        <w:rPr>
          <w:rFonts w:eastAsia="Calibri"/>
        </w:rPr>
        <w:t>I</w:t>
      </w:r>
      <w:r w:rsidRPr="00391CB7">
        <w:rPr>
          <w:rFonts w:eastAsia="Calibri"/>
        </w:rPr>
        <w:t xml:space="preserve">nformation for </w:t>
      </w:r>
      <w:r>
        <w:rPr>
          <w:rFonts w:eastAsia="Calibri"/>
        </w:rPr>
        <w:t>S</w:t>
      </w:r>
      <w:r w:rsidRPr="00391CB7">
        <w:rPr>
          <w:rFonts w:eastAsia="Calibri"/>
        </w:rPr>
        <w:t>tudents on COVID-19</w:t>
      </w:r>
    </w:p>
    <w:p w14:paraId="0F5E008C" w14:textId="77777777" w:rsidR="007D2F9E" w:rsidRPr="00780C62" w:rsidRDefault="007D2F9E" w:rsidP="007D2F9E">
      <w:pPr>
        <w:pStyle w:val="NoSpacing"/>
      </w:pPr>
      <w:r w:rsidRPr="00780C62">
        <w:t>Masks are required inside university buildings. You must also meet university vaccine or exemption requirements.</w:t>
      </w:r>
    </w:p>
    <w:p w14:paraId="2447A199" w14:textId="77777777" w:rsidR="007D2F9E" w:rsidRPr="00780C62" w:rsidRDefault="007D2F9E" w:rsidP="007D2F9E">
      <w:pPr>
        <w:pStyle w:val="NoSpacing"/>
      </w:pPr>
      <w:r w:rsidRPr="00780C62">
        <w:t> </w:t>
      </w:r>
    </w:p>
    <w:p w14:paraId="6B0F40E6" w14:textId="77777777" w:rsidR="007D2F9E" w:rsidRPr="00780C62" w:rsidRDefault="007D2F9E" w:rsidP="007D2F9E">
      <w:pPr>
        <w:pStyle w:val="NoSpacing"/>
      </w:pPr>
      <w:r w:rsidRPr="00780C62">
        <w:t>All students are expected and required to report to the COVID Reporter (</w:t>
      </w:r>
      <w:hyperlink r:id="rId16" w:tooltip="https://covid.colostate.edu/reporter/" w:history="1">
        <w:r w:rsidRPr="00780C62">
          <w:rPr>
            <w:rStyle w:val="Hyperlink"/>
          </w:rPr>
          <w:t>https://covid.colostate.edu/reporter/</w:t>
        </w:r>
      </w:hyperlink>
      <w:r w:rsidRPr="00780C62">
        <w:t>) when:</w:t>
      </w:r>
    </w:p>
    <w:p w14:paraId="43399AFC" w14:textId="77777777" w:rsidR="007D2F9E" w:rsidRPr="00780C62" w:rsidRDefault="007D2F9E" w:rsidP="007D2F9E">
      <w:pPr>
        <w:pStyle w:val="NoSpacing"/>
      </w:pPr>
      <w:r w:rsidRPr="00780C62">
        <w:t> </w:t>
      </w:r>
    </w:p>
    <w:p w14:paraId="13FB90E3" w14:textId="77777777" w:rsidR="007D2F9E" w:rsidRPr="00780C62" w:rsidRDefault="007D2F9E" w:rsidP="007D2F9E">
      <w:pPr>
        <w:pStyle w:val="NoSpacing"/>
        <w:numPr>
          <w:ilvl w:val="0"/>
          <w:numId w:val="18"/>
        </w:numPr>
      </w:pPr>
      <w:r w:rsidRPr="00780C62">
        <w:t xml:space="preserve">You suspect you have symptoms of COVID, regardless of </w:t>
      </w:r>
      <w:proofErr w:type="gramStart"/>
      <w:r w:rsidRPr="00780C62">
        <w:t>whether or not</w:t>
      </w:r>
      <w:proofErr w:type="gramEnd"/>
      <w:r w:rsidRPr="00780C62">
        <w:t xml:space="preserve"> you are vaccinated and even if your symptoms are mild</w:t>
      </w:r>
    </w:p>
    <w:p w14:paraId="34F2180D" w14:textId="77777777" w:rsidR="007D2F9E" w:rsidRPr="00780C62" w:rsidRDefault="007D2F9E" w:rsidP="007D2F9E">
      <w:pPr>
        <w:pStyle w:val="NoSpacing"/>
        <w:numPr>
          <w:ilvl w:val="0"/>
          <w:numId w:val="18"/>
        </w:numPr>
      </w:pPr>
      <w:r w:rsidRPr="00780C62">
        <w:t>You have tested positive for COVID through a non-CSU testing site, such as home test or test at a pharmacy</w:t>
      </w:r>
    </w:p>
    <w:p w14:paraId="46917E6B" w14:textId="77777777" w:rsidR="007D2F9E" w:rsidRPr="00780C62" w:rsidRDefault="007D2F9E" w:rsidP="007D2F9E">
      <w:pPr>
        <w:pStyle w:val="NoSpacing"/>
        <w:numPr>
          <w:ilvl w:val="0"/>
          <w:numId w:val="18"/>
        </w:numPr>
      </w:pPr>
      <w:r w:rsidRPr="00780C62">
        <w:t>You believe you may have been exposed to COVID go to the COVID Reporter and follow the guidance under “I believe I have been in close contact with someone who has COVID-19.” This guidance will depend upon your individual circumstances</w:t>
      </w:r>
    </w:p>
    <w:p w14:paraId="56ABA497" w14:textId="77777777" w:rsidR="007D2F9E" w:rsidRPr="00780C62" w:rsidRDefault="007D2F9E" w:rsidP="007D2F9E">
      <w:pPr>
        <w:pStyle w:val="NoSpacing"/>
      </w:pPr>
      <w:r w:rsidRPr="00780C62">
        <w:t> </w:t>
      </w:r>
    </w:p>
    <w:p w14:paraId="11D606E8" w14:textId="77777777" w:rsidR="007D2F9E" w:rsidRPr="00780C62" w:rsidRDefault="007D2F9E" w:rsidP="007D2F9E">
      <w:pPr>
        <w:pStyle w:val="NoSpacing"/>
      </w:pPr>
      <w:r w:rsidRPr="00780C62">
        <w:t>You will not be penalized in any way for reporting symptoms or concerns.</w:t>
      </w:r>
    </w:p>
    <w:p w14:paraId="5AD3A1C9" w14:textId="77777777" w:rsidR="007D2F9E" w:rsidRPr="00780C62" w:rsidRDefault="007D2F9E" w:rsidP="007D2F9E">
      <w:pPr>
        <w:pStyle w:val="NoSpacing"/>
      </w:pPr>
      <w:r w:rsidRPr="00780C62">
        <w:t> </w:t>
      </w:r>
    </w:p>
    <w:p w14:paraId="03F27C02" w14:textId="77777777" w:rsidR="007D2F9E" w:rsidRPr="00780C62" w:rsidRDefault="007D2F9E" w:rsidP="007D2F9E">
      <w:pPr>
        <w:pStyle w:val="NoSpacing"/>
      </w:pPr>
      <w:r w:rsidRPr="00780C62">
        <w:t>Do not ask me as your instructor to report for you. It is your responsibility to report through the COVID Reporter promptly.</w:t>
      </w:r>
    </w:p>
    <w:p w14:paraId="088BFFFE" w14:textId="77777777" w:rsidR="007D2F9E" w:rsidRPr="00780C62" w:rsidRDefault="007D2F9E" w:rsidP="007D2F9E">
      <w:pPr>
        <w:pStyle w:val="NoSpacing"/>
      </w:pPr>
      <w:r w:rsidRPr="00780C62">
        <w:t> </w:t>
      </w:r>
    </w:p>
    <w:p w14:paraId="7DE86DA4" w14:textId="77777777" w:rsidR="007D2F9E" w:rsidRPr="00780C62" w:rsidRDefault="007D2F9E" w:rsidP="007D2F9E">
      <w:pPr>
        <w:pStyle w:val="NoSpacing"/>
      </w:pPr>
      <w:r w:rsidRPr="00780C62">
        <w:t xml:space="preserve">As your instructor I may not ask you about vaccination status or if you have </w:t>
      </w:r>
      <w:proofErr w:type="gramStart"/>
      <w:r w:rsidRPr="00780C62">
        <w:t>COVID</w:t>
      </w:r>
      <w:proofErr w:type="gramEnd"/>
      <w:r w:rsidRPr="00780C62">
        <w:t xml:space="preserve"> but you may freely volunteer to send me information from a public health official   if you have been asked to isolate or quarantine.</w:t>
      </w:r>
    </w:p>
    <w:p w14:paraId="58C31986" w14:textId="77777777" w:rsidR="007D2F9E" w:rsidRPr="00780C62" w:rsidRDefault="007D2F9E" w:rsidP="007D2F9E">
      <w:pPr>
        <w:pStyle w:val="NoSpacing"/>
      </w:pPr>
      <w:r w:rsidRPr="00780C62">
        <w:t> </w:t>
      </w:r>
    </w:p>
    <w:p w14:paraId="4FB707B7" w14:textId="77777777" w:rsidR="007D2F9E" w:rsidRPr="00780C62" w:rsidRDefault="007D2F9E" w:rsidP="007D2F9E">
      <w:pPr>
        <w:pStyle w:val="NoSpacing"/>
      </w:pPr>
      <w:r w:rsidRPr="00780C62">
        <w:t xml:space="preserve">When you complete the COVID Reporter, the CSU Public Health office is notified. Once notified, that office will contact you and, depending upon each situation, will conduct contact tracing, initiate any necessary public health </w:t>
      </w:r>
      <w:proofErr w:type="gramStart"/>
      <w:r w:rsidRPr="00780C62">
        <w:t>requirements</w:t>
      </w:r>
      <w:proofErr w:type="gramEnd"/>
      <w:r w:rsidRPr="00780C62">
        <w:t xml:space="preserve"> and notify you if you need to take any steps.</w:t>
      </w:r>
    </w:p>
    <w:p w14:paraId="3BAFCFBF" w14:textId="77777777" w:rsidR="007D2F9E" w:rsidRPr="00780C62" w:rsidRDefault="007D2F9E" w:rsidP="007D2F9E">
      <w:pPr>
        <w:pStyle w:val="NoSpacing"/>
      </w:pPr>
      <w:r w:rsidRPr="00780C62">
        <w:t> </w:t>
      </w:r>
    </w:p>
    <w:p w14:paraId="62C1AB2D" w14:textId="77777777" w:rsidR="007D2F9E" w:rsidRPr="00780C62" w:rsidRDefault="007D2F9E" w:rsidP="007D2F9E">
      <w:pPr>
        <w:pStyle w:val="NoSpacing"/>
      </w:pPr>
      <w:r w:rsidRPr="00780C62">
        <w:t>If you do not have internet access to fill out the online COVID-19 Reporter, please call (970) 491-4600.</w:t>
      </w:r>
    </w:p>
    <w:p w14:paraId="3AD0C08E" w14:textId="77777777" w:rsidR="007D2F9E" w:rsidRPr="00780C62" w:rsidRDefault="007D2F9E" w:rsidP="007D2F9E">
      <w:pPr>
        <w:pStyle w:val="NoSpacing"/>
      </w:pPr>
      <w:r w:rsidRPr="00780C62">
        <w:t> </w:t>
      </w:r>
    </w:p>
    <w:p w14:paraId="7577CDF1" w14:textId="77777777" w:rsidR="007D2F9E" w:rsidRPr="00780C62" w:rsidRDefault="007D2F9E" w:rsidP="007D2F9E">
      <w:pPr>
        <w:pStyle w:val="NoSpacing"/>
      </w:pPr>
      <w:r w:rsidRPr="00780C62">
        <w:t>For the latest information about the University’s COVID resources and information, including FAQs about the spring semester, please visit the CSU COVID-19 site </w:t>
      </w:r>
      <w:hyperlink r:id="rId17" w:tooltip="https://covid.colostate.edu/" w:history="1">
        <w:r w:rsidRPr="00780C62">
          <w:rPr>
            <w:rStyle w:val="Hyperlink"/>
          </w:rPr>
          <w:t>https://covid.colostate.edu/</w:t>
        </w:r>
      </w:hyperlink>
      <w:r w:rsidRPr="00780C62">
        <w:t>.</w:t>
      </w:r>
    </w:p>
    <w:p w14:paraId="501B9A10" w14:textId="77777777" w:rsidR="00716E9D" w:rsidRPr="00F2090F" w:rsidRDefault="00716E9D" w:rsidP="00716E9D">
      <w:pPr>
        <w:pStyle w:val="Heading2"/>
        <w:spacing w:line="240" w:lineRule="auto"/>
        <w:rPr>
          <w:sz w:val="32"/>
          <w:szCs w:val="32"/>
        </w:rPr>
      </w:pPr>
      <w:r w:rsidRPr="00F2090F">
        <w:rPr>
          <w:sz w:val="32"/>
          <w:szCs w:val="32"/>
        </w:rPr>
        <w:t xml:space="preserve">Class Participation </w:t>
      </w:r>
    </w:p>
    <w:p w14:paraId="4DF23373" w14:textId="77777777" w:rsidR="00716E9D" w:rsidRPr="009C7F1F" w:rsidRDefault="00716E9D" w:rsidP="00716E9D">
      <w:pPr>
        <w:pStyle w:val="NoSpacing"/>
        <w:rPr>
          <w:rFonts w:eastAsia="Times New Roman"/>
        </w:rPr>
      </w:pPr>
      <w:r w:rsidRPr="00036A06">
        <w:t>Students are expected to attend all classes</w:t>
      </w:r>
      <w:r>
        <w:t xml:space="preserve"> as far as feasible</w:t>
      </w:r>
      <w:r w:rsidRPr="00036A06">
        <w:t xml:space="preserve">.  Any student who fails to attend regularly will inevitably fall behind and find that his or her performance is badly affected.  </w:t>
      </w:r>
      <w:r w:rsidRPr="00036A06">
        <w:rPr>
          <w:rFonts w:eastAsia="Times New Roman"/>
        </w:rPr>
        <w:t>This course is designed to engage students through class discussions on the topics covered</w:t>
      </w:r>
      <w:r w:rsidRPr="00036A06">
        <w:rPr>
          <w:rFonts w:ascii="MS Gothic" w:eastAsia="MS Gothic" w:hAnsi="MS Gothic" w:cs="MS Gothic" w:hint="eastAsia"/>
        </w:rPr>
        <w:t> </w:t>
      </w:r>
      <w:r w:rsidRPr="00036A06">
        <w:rPr>
          <w:rFonts w:eastAsia="Times New Roman"/>
        </w:rPr>
        <w:t xml:space="preserve">in the course materials.  It is important that all students participate in class discussions to facilitate learning and gain exposure to different viewpoints.  Please read the required readings for the week prior to class </w:t>
      </w:r>
      <w:proofErr w:type="gramStart"/>
      <w:r w:rsidRPr="00036A06">
        <w:rPr>
          <w:rFonts w:eastAsia="Times New Roman"/>
        </w:rPr>
        <w:t>in order to</w:t>
      </w:r>
      <w:proofErr w:type="gramEnd"/>
      <w:r w:rsidRPr="00036A06">
        <w:rPr>
          <w:rFonts w:eastAsia="Times New Roman"/>
        </w:rPr>
        <w:t xml:space="preserve"> enable full participation in the classroom.</w:t>
      </w:r>
    </w:p>
    <w:p w14:paraId="1B2FFB39" w14:textId="77777777" w:rsidR="007D2F9E" w:rsidRPr="007D2F9E" w:rsidRDefault="007D2F9E" w:rsidP="007D2F9E"/>
    <w:p w14:paraId="5DFFA71A" w14:textId="69A1D82D" w:rsidR="00077130" w:rsidRPr="00CF36B0" w:rsidRDefault="00077130" w:rsidP="00077130">
      <w:pPr>
        <w:pStyle w:val="Heading1"/>
      </w:pPr>
      <w:r w:rsidRPr="00CF36B0">
        <w:rPr>
          <w:rFonts w:eastAsia="Calibri"/>
        </w:rPr>
        <w:t xml:space="preserve">Inclusive Classroom </w:t>
      </w:r>
    </w:p>
    <w:p w14:paraId="6FE97C49" w14:textId="2286AF19" w:rsidR="00DB0240" w:rsidRDefault="00077130" w:rsidP="00DB0240">
      <w:pPr>
        <w:pStyle w:val="NoSpacing"/>
      </w:pPr>
      <w:r w:rsidRPr="0074319D">
        <w:t xml:space="preserve">I aim to provide an </w:t>
      </w:r>
      <w:r w:rsidRPr="0074319D">
        <w:rPr>
          <w:i/>
        </w:rPr>
        <w:t>inclusive and safe environment</w:t>
      </w:r>
      <w:r w:rsidRPr="0074319D">
        <w:t xml:space="preserve"> that is conducive to learning.  Students are required to </w:t>
      </w:r>
      <w:proofErr w:type="gramStart"/>
      <w:r w:rsidRPr="0074319D">
        <w:t>act respectfully in the classroom at all times</w:t>
      </w:r>
      <w:proofErr w:type="gramEnd"/>
      <w:r w:rsidRPr="0074319D">
        <w:t xml:space="preserve">.  Any disruptive behavior that inhibits fellow-student learning will not be permitted.  Such behavior includes holding private conversations during lecture, any unauthorized cell phone, laptop, or tablet use, or other behavior which detracts from the class. </w:t>
      </w:r>
    </w:p>
    <w:p w14:paraId="26A3B927" w14:textId="6DEE741D" w:rsidR="009A33AF" w:rsidRDefault="009A33AF" w:rsidP="009A33AF">
      <w:pPr>
        <w:pStyle w:val="Heading1"/>
      </w:pPr>
      <w:r>
        <w:lastRenderedPageBreak/>
        <w:t>Instructor Communication and Office Hours</w:t>
      </w:r>
    </w:p>
    <w:p w14:paraId="1D80FEB1" w14:textId="77777777" w:rsidR="00894F2D" w:rsidRPr="00036A06" w:rsidRDefault="009A33AF" w:rsidP="00DB0240">
      <w:pPr>
        <w:pStyle w:val="NoSpacing"/>
      </w:pPr>
      <w:r w:rsidRPr="00036A06">
        <w:t xml:space="preserve">I care about how well you learn the material covered in class and that you have the best opportunity to succeed in this course.  To that end, it is my commitment to respond individually to the work you submit and to return your work in a timely manner. I will also make it a top priority to respond to emails and questions as quickly as possible. </w:t>
      </w:r>
    </w:p>
    <w:p w14:paraId="35F24155" w14:textId="77777777" w:rsidR="00894F2D" w:rsidRPr="00036A06" w:rsidRDefault="00894F2D" w:rsidP="00DB0240">
      <w:pPr>
        <w:pStyle w:val="NoSpacing"/>
      </w:pPr>
    </w:p>
    <w:p w14:paraId="00040F88" w14:textId="6425C40F" w:rsidR="00022CB5" w:rsidRDefault="009A33AF" w:rsidP="00716E9D">
      <w:pPr>
        <w:pStyle w:val="NoSpacing"/>
      </w:pPr>
      <w:r w:rsidRPr="00036A06">
        <w:t xml:space="preserve">Please make full use of my office hours.  If you wish to see me in person outside of office hours, please make an appointment by email. I do encourage students to ask me short questions by email, as this method can be quicker than an appointment if the query is straightforward. Cancellation of any office hours or appointments will be notified via a notice on my door, announcement in class or by email.  </w:t>
      </w:r>
    </w:p>
    <w:p w14:paraId="22521299" w14:textId="4530E668" w:rsidR="009A33AF" w:rsidRDefault="009A33AF" w:rsidP="009A33AF">
      <w:pPr>
        <w:pStyle w:val="Heading1"/>
        <w:spacing w:line="240" w:lineRule="auto"/>
      </w:pPr>
      <w:r>
        <w:t>Course Withdrawal Policy</w:t>
      </w:r>
    </w:p>
    <w:p w14:paraId="1547A1B1" w14:textId="6BD7C46C" w:rsidR="003C7F85" w:rsidRPr="0068252F" w:rsidRDefault="009A33AF" w:rsidP="00DB0240">
      <w:pPr>
        <w:pStyle w:val="NoSpacing"/>
        <w:rPr>
          <w:color w:val="67AFBD" w:themeColor="hyperlink"/>
          <w:u w:val="single"/>
        </w:rPr>
      </w:pPr>
      <w:r w:rsidRPr="00036A06">
        <w:t xml:space="preserve">Any student who wishes to withdraw from the course must submit a request directly to Division of Continuing Education. For complete information, please visit their website at </w:t>
      </w:r>
      <w:hyperlink r:id="rId18" w:history="1">
        <w:r w:rsidRPr="00036A06">
          <w:rPr>
            <w:rStyle w:val="Hyperlink"/>
            <w:sz w:val="22"/>
            <w:szCs w:val="22"/>
          </w:rPr>
          <w:t>http://www.learn.colostate.edu/help/creditstudents/registration/drop-policy.dot</w:t>
        </w:r>
      </w:hyperlink>
    </w:p>
    <w:p w14:paraId="586F1785" w14:textId="2C7581E0" w:rsidR="00665B51" w:rsidRPr="00051A64" w:rsidRDefault="006D6234" w:rsidP="006D6234">
      <w:pPr>
        <w:pStyle w:val="Heading1"/>
      </w:pPr>
      <w:r>
        <w:t>Academic Integrity</w:t>
      </w:r>
    </w:p>
    <w:p w14:paraId="0ADF45B8" w14:textId="77777777" w:rsidR="00320ADB" w:rsidRPr="00036A06" w:rsidRDefault="00320ADB" w:rsidP="00DB0240">
      <w:pPr>
        <w:pStyle w:val="NoSpacing"/>
      </w:pPr>
      <w:r w:rsidRPr="00036A06">
        <w:t xml:space="preserve">We take academic integrity seriously. At minimum, academic integrity means that no one will use another’s work as their own. The CSU writing center defines plagiarism this way: </w:t>
      </w:r>
    </w:p>
    <w:p w14:paraId="3CB34C2C" w14:textId="77777777" w:rsidR="00320ADB" w:rsidRPr="00036A06" w:rsidRDefault="00320ADB" w:rsidP="00DB0240">
      <w:pPr>
        <w:pStyle w:val="NoSpacing"/>
      </w:pPr>
    </w:p>
    <w:p w14:paraId="32824F3A" w14:textId="77777777" w:rsidR="00320ADB" w:rsidRPr="00036A06" w:rsidRDefault="00320ADB" w:rsidP="00DB0240">
      <w:pPr>
        <w:pStyle w:val="NoSpacing"/>
      </w:pPr>
      <w:r w:rsidRPr="00036A06">
        <w:t xml:space="preserve">“Plagiarism is the unauthorized or unacknowledged use of another person's academic or scholarly work. Done on purpose, it is cheating. Done accidentally, it is no less serious. Regardless of how it occurs, plagiarism is a theft of intellectual property and a violation of an ironclad rule demanding credit be given where credit is due.” </w:t>
      </w:r>
    </w:p>
    <w:p w14:paraId="4C26446D" w14:textId="77777777" w:rsidR="00320ADB" w:rsidRPr="00036A06" w:rsidRDefault="00320ADB" w:rsidP="00DB0240">
      <w:pPr>
        <w:pStyle w:val="NoSpacing"/>
      </w:pPr>
      <w:r w:rsidRPr="00036A06">
        <w:t xml:space="preserve">—Writing Guides: Understanding Plagiarism. </w:t>
      </w:r>
      <w:hyperlink r:id="rId19" w:history="1">
        <w:r w:rsidRPr="00036A06">
          <w:rPr>
            <w:rStyle w:val="Hyperlink"/>
            <w:rFonts w:asciiTheme="minorHAnsi" w:hAnsiTheme="minorHAnsi" w:cstheme="minorHAnsi"/>
            <w:sz w:val="22"/>
            <w:szCs w:val="22"/>
          </w:rPr>
          <w:t>http://writing.colostate.edu/guides/researchsources/understandingplagiarism</w:t>
        </w:r>
      </w:hyperlink>
    </w:p>
    <w:p w14:paraId="731BFA10" w14:textId="77777777" w:rsidR="00320ADB" w:rsidRPr="00036A06" w:rsidRDefault="00320ADB" w:rsidP="00DB0240">
      <w:pPr>
        <w:pStyle w:val="NoSpacing"/>
      </w:pPr>
    </w:p>
    <w:p w14:paraId="5A538534" w14:textId="77777777" w:rsidR="005E6CCE" w:rsidRPr="00036A06" w:rsidRDefault="00320ADB" w:rsidP="00DB0240">
      <w:pPr>
        <w:pStyle w:val="NoSpacing"/>
      </w:pPr>
      <w:r w:rsidRPr="00036A06">
        <w:t xml:space="preserve">Academic Dishonesty could result in expulsion from the university. This course will adhere to the CSU Academic Integrity </w:t>
      </w:r>
      <w:hyperlink r:id="rId20" w:history="1">
        <w:r w:rsidRPr="00036A06">
          <w:rPr>
            <w:rStyle w:val="Hyperlink"/>
            <w:color w:val="auto"/>
            <w:sz w:val="22"/>
            <w:szCs w:val="22"/>
            <w:u w:val="none"/>
          </w:rPr>
          <w:t>Policies and Guiding Principles</w:t>
        </w:r>
      </w:hyperlink>
      <w:r w:rsidRPr="00036A06">
        <w:t xml:space="preserve"> as found in the General Catalog and the </w:t>
      </w:r>
      <w:hyperlink r:id="rId21" w:history="1">
        <w:r w:rsidRPr="00036A06">
          <w:rPr>
            <w:rStyle w:val="Hyperlink"/>
            <w:color w:val="auto"/>
            <w:sz w:val="22"/>
            <w:szCs w:val="22"/>
            <w:u w:val="none"/>
          </w:rPr>
          <w:t>Student Conduct Code</w:t>
        </w:r>
      </w:hyperlink>
      <w:r w:rsidRPr="00036A06">
        <w:t xml:space="preserve">. </w:t>
      </w:r>
      <w:r w:rsidR="00F95D21" w:rsidRPr="00036A06">
        <w:t xml:space="preserve"> As per university policy: “Any student found responsible for having engaged in academic dishonesty will be subject to academic penalty and/or University disciplinary action.”  (General</w:t>
      </w:r>
      <w:r w:rsidR="005E6CCE" w:rsidRPr="00036A06">
        <w:t xml:space="preserve"> Catalog 2011-2012, 1.6, p.8).</w:t>
      </w:r>
    </w:p>
    <w:p w14:paraId="5262F17E" w14:textId="77777777" w:rsidR="005E6CCE" w:rsidRPr="00036A06" w:rsidRDefault="005E6CCE" w:rsidP="00DB0240">
      <w:pPr>
        <w:pStyle w:val="NoSpacing"/>
      </w:pPr>
    </w:p>
    <w:p w14:paraId="4544BACB" w14:textId="5129F9DA" w:rsidR="00320ADB" w:rsidRPr="00036A06" w:rsidRDefault="00F95D21" w:rsidP="00DB0240">
      <w:pPr>
        <w:pStyle w:val="NoSpacing"/>
      </w:pPr>
      <w:r w:rsidRPr="00036A06">
        <w:t xml:space="preserve">Any academic dishonesty in this course may result in a grade of “F” for the course and may be reported to the Office of Conflict Resolution and Student Conduct Services.  Please be aware that the General Catalog specifically identifies the following examples of academic dishonesty: cheating in the classroom, plagiarism, unauthorized possession or disposition of academic materials, falsification, and facilitation of cases of academic dishonesty.   Plagiarism is defined as follows: “Plagiarism includes the copying of language, structure, ideas, or thoughts of another, and representing them as one’s own without proper acknowledgement.  Examples include a submission of purchased research papers as one’s own work; paraphrasing and/or quoting material without properly documenting the source.” (General Catalog 2011-2012, 1.6, p.8).  </w:t>
      </w:r>
      <w:r w:rsidR="00320ADB" w:rsidRPr="00036A06">
        <w:t>Of course, academic integrity means more than just avoiding plagiarism and cheating. It also involves doing your own reading and studying.  It includes class attendance, careful consideration of all class materials, and engagement with the class and your fellow students.</w:t>
      </w:r>
      <w:r w:rsidRPr="00036A06">
        <w:t xml:space="preserve"> </w:t>
      </w:r>
    </w:p>
    <w:p w14:paraId="78BECA05" w14:textId="77777777" w:rsidR="00320ADB" w:rsidRPr="00320ADB" w:rsidRDefault="00320ADB" w:rsidP="005E6CCE">
      <w:pPr>
        <w:pStyle w:val="Heading1"/>
      </w:pPr>
      <w:r w:rsidRPr="00320ADB">
        <w:t>CSU Honor Pledge</w:t>
      </w:r>
    </w:p>
    <w:p w14:paraId="367F5B68" w14:textId="77777777" w:rsidR="005E6CCE" w:rsidRPr="00036A06" w:rsidRDefault="00320ADB" w:rsidP="00DB0240">
      <w:pPr>
        <w:pStyle w:val="NoSpacing"/>
        <w:rPr>
          <w:bCs/>
        </w:rPr>
      </w:pPr>
      <w:r w:rsidRPr="00036A06">
        <w:t xml:space="preserve">Academic integrity lies at the core of our common goal: to create an intellectually honest and rigorous community.  Because academic integrity, and the personal and social integrity of which academic integrity is an integral part, is so central to our mission as students, teachers, </w:t>
      </w:r>
      <w:proofErr w:type="gramStart"/>
      <w:r w:rsidRPr="00036A06">
        <w:t>scholars</w:t>
      </w:r>
      <w:proofErr w:type="gramEnd"/>
      <w:r w:rsidRPr="00036A06">
        <w:t xml:space="preserve"> and citizens, I will ask that you affirm the CSU Honor Pledge as part of completing your work in this course.  </w:t>
      </w:r>
      <w:r w:rsidR="00F95D21" w:rsidRPr="00036A06">
        <w:t xml:space="preserve">While you will not be required to affirm the honor pledge, </w:t>
      </w:r>
      <w:r w:rsidRPr="00036A06">
        <w:rPr>
          <w:bCs/>
        </w:rPr>
        <w:t>you will be required to affirm the following statement:</w:t>
      </w:r>
      <w:r w:rsidR="005E6CCE" w:rsidRPr="00036A06">
        <w:rPr>
          <w:bCs/>
        </w:rPr>
        <w:t xml:space="preserve"> </w:t>
      </w:r>
    </w:p>
    <w:p w14:paraId="66143184" w14:textId="00A7991B" w:rsidR="005E6CCE" w:rsidRPr="00036A06" w:rsidRDefault="00320ADB" w:rsidP="00DB0240">
      <w:pPr>
        <w:pStyle w:val="NoSpacing"/>
        <w:rPr>
          <w:bCs/>
        </w:rPr>
      </w:pPr>
      <w:r w:rsidRPr="00036A06">
        <w:t>"I have not given, received, or used any unauthorized assistance."</w:t>
      </w:r>
      <w:r w:rsidR="005E6CCE" w:rsidRPr="00036A06">
        <w:rPr>
          <w:bCs/>
        </w:rPr>
        <w:t xml:space="preserve"> </w:t>
      </w:r>
    </w:p>
    <w:p w14:paraId="2B1ACE26" w14:textId="419E6ADF" w:rsidR="00880DA8" w:rsidRPr="00DB0240" w:rsidRDefault="00320ADB" w:rsidP="00DB0240">
      <w:pPr>
        <w:pStyle w:val="NoSpacing"/>
        <w:rPr>
          <w:bCs/>
        </w:rPr>
      </w:pPr>
      <w:r w:rsidRPr="00036A06">
        <w:lastRenderedPageBreak/>
        <w:t xml:space="preserve">Further information about Academic Integrity is available at CSU’s </w:t>
      </w:r>
      <w:r w:rsidRPr="00036A06">
        <w:rPr>
          <w:b/>
          <w:u w:val="single"/>
        </w:rPr>
        <w:t>Practicing Academic Integrity</w:t>
      </w:r>
      <w:r w:rsidR="009B083A" w:rsidRPr="00036A06">
        <w:rPr>
          <w:b/>
          <w:u w:val="single"/>
        </w:rPr>
        <w:t>.</w:t>
      </w:r>
    </w:p>
    <w:p w14:paraId="63BA5B1E" w14:textId="77777777" w:rsidR="00D80033" w:rsidRDefault="00D80033" w:rsidP="00D80033">
      <w:pPr>
        <w:pStyle w:val="Heading1"/>
        <w:rPr>
          <w:rFonts w:eastAsia="Calibri"/>
        </w:rPr>
      </w:pPr>
      <w:r w:rsidRPr="000257C5">
        <w:rPr>
          <w:rFonts w:eastAsia="Calibri"/>
        </w:rPr>
        <w:t>CSU P</w:t>
      </w:r>
      <w:r>
        <w:rPr>
          <w:rFonts w:eastAsia="Calibri"/>
        </w:rPr>
        <w:t>rinciples</w:t>
      </w:r>
      <w:r w:rsidRPr="000257C5">
        <w:rPr>
          <w:rFonts w:eastAsia="Calibri"/>
        </w:rPr>
        <w:t xml:space="preserve"> </w:t>
      </w:r>
      <w:r>
        <w:rPr>
          <w:rFonts w:eastAsia="Calibri"/>
        </w:rPr>
        <w:t>of</w:t>
      </w:r>
      <w:r w:rsidRPr="000257C5">
        <w:rPr>
          <w:rFonts w:eastAsia="Calibri"/>
        </w:rPr>
        <w:t xml:space="preserve"> C</w:t>
      </w:r>
      <w:r>
        <w:rPr>
          <w:rFonts w:eastAsia="Calibri"/>
        </w:rPr>
        <w:t>ommunity</w:t>
      </w:r>
      <w:r w:rsidRPr="000257C5">
        <w:rPr>
          <w:rFonts w:eastAsia="Calibri"/>
        </w:rPr>
        <w:t xml:space="preserve"> </w:t>
      </w:r>
    </w:p>
    <w:p w14:paraId="7F46834F" w14:textId="77777777" w:rsidR="00D80033" w:rsidRPr="00F35157" w:rsidRDefault="00D80033" w:rsidP="00D80033">
      <w:r>
        <w:t>T</w:t>
      </w:r>
      <w:r w:rsidRPr="00F35157">
        <w:t>he </w:t>
      </w:r>
      <w:hyperlink r:id="rId22" w:tgtFrame="_blank" w:tooltip="https://inclusiveexcellence.colostate.edu/resources/principles-of-community/" w:history="1">
        <w:r w:rsidRPr="00F35157">
          <w:rPr>
            <w:rStyle w:val="Hyperlink"/>
          </w:rPr>
          <w:t xml:space="preserve">CSU </w:t>
        </w:r>
        <w:r>
          <w:rPr>
            <w:rStyle w:val="Hyperlink"/>
          </w:rPr>
          <w:t>P</w:t>
        </w:r>
        <w:r w:rsidRPr="00F35157">
          <w:rPr>
            <w:rStyle w:val="Hyperlink"/>
          </w:rPr>
          <w:t>rinciples of Community</w:t>
        </w:r>
      </w:hyperlink>
      <w:r>
        <w:t xml:space="preserve"> </w:t>
      </w:r>
      <w:r w:rsidRPr="00F35157">
        <w:t>support the Colorado State University mission and vision of access, research, teaching, service and engagement</w:t>
      </w:r>
      <w:r>
        <w:t>:</w:t>
      </w:r>
    </w:p>
    <w:p w14:paraId="4F286E20" w14:textId="77777777" w:rsidR="00D80033" w:rsidRPr="000257C5" w:rsidRDefault="00D80033" w:rsidP="00D80033">
      <w:pPr>
        <w:pStyle w:val="NoSpacing"/>
        <w:numPr>
          <w:ilvl w:val="0"/>
          <w:numId w:val="19"/>
        </w:numPr>
      </w:pPr>
      <w:r w:rsidRPr="000257C5">
        <w:rPr>
          <w:b/>
        </w:rPr>
        <w:t>Inclusion:</w:t>
      </w:r>
      <w:r w:rsidRPr="000257C5">
        <w:t xml:space="preserve"> We create and nurture inclusive environments and welcome, value and affirm all members of our community, including their various identities, skills, ideas, </w:t>
      </w:r>
      <w:proofErr w:type="gramStart"/>
      <w:r w:rsidRPr="000257C5">
        <w:t>talents</w:t>
      </w:r>
      <w:proofErr w:type="gramEnd"/>
      <w:r w:rsidRPr="000257C5">
        <w:t xml:space="preserve"> and contributions. </w:t>
      </w:r>
      <w:hyperlink r:id="rId23" w:history="1">
        <w:r w:rsidRPr="000257C5">
          <w:rPr>
            <w:rStyle w:val="Hyperlink"/>
          </w:rPr>
          <w:t>The Mission, Vision, and Focus webpage</w:t>
        </w:r>
      </w:hyperlink>
      <w:r w:rsidRPr="000257C5">
        <w:t xml:space="preserve"> of the Vice President for Diversity includes a comprehensive statement of CSU’s commitment to diversity and inclusion.</w:t>
      </w:r>
    </w:p>
    <w:p w14:paraId="5D15A85A" w14:textId="77777777" w:rsidR="00D80033" w:rsidRPr="000257C5" w:rsidRDefault="00D80033" w:rsidP="00D80033">
      <w:pPr>
        <w:pStyle w:val="NoSpacing"/>
        <w:numPr>
          <w:ilvl w:val="0"/>
          <w:numId w:val="19"/>
        </w:numPr>
      </w:pPr>
      <w:r w:rsidRPr="000257C5">
        <w:rPr>
          <w:b/>
        </w:rPr>
        <w:t>Integrity:</w:t>
      </w:r>
      <w:r w:rsidRPr="000257C5">
        <w:t xml:space="preserve"> We are accountable for our actions and will act ethically and honestly in all our interactions. </w:t>
      </w:r>
    </w:p>
    <w:p w14:paraId="22E85FA9" w14:textId="77777777" w:rsidR="00D80033" w:rsidRPr="000257C5" w:rsidRDefault="00D80033" w:rsidP="00D80033">
      <w:pPr>
        <w:pStyle w:val="NoSpacing"/>
        <w:numPr>
          <w:ilvl w:val="0"/>
          <w:numId w:val="19"/>
        </w:numPr>
      </w:pPr>
      <w:r w:rsidRPr="000257C5">
        <w:rPr>
          <w:b/>
        </w:rPr>
        <w:t>Respect:</w:t>
      </w:r>
      <w:r w:rsidRPr="000257C5">
        <w:t xml:space="preserve"> We honor the inherent dignity of all people within an environment where we are committed to freedom of expression, critical discourse, and the advancement of knowledge. </w:t>
      </w:r>
    </w:p>
    <w:p w14:paraId="47AA9D80" w14:textId="77777777" w:rsidR="00D80033" w:rsidRPr="000257C5" w:rsidRDefault="00D80033" w:rsidP="00D80033">
      <w:pPr>
        <w:pStyle w:val="NoSpacing"/>
        <w:numPr>
          <w:ilvl w:val="0"/>
          <w:numId w:val="19"/>
        </w:numPr>
      </w:pPr>
      <w:r w:rsidRPr="000257C5">
        <w:rPr>
          <w:b/>
        </w:rPr>
        <w:t>Service:</w:t>
      </w:r>
      <w:r w:rsidRPr="000257C5">
        <w:t xml:space="preserve"> We are responsible, </w:t>
      </w:r>
      <w:proofErr w:type="gramStart"/>
      <w:r w:rsidRPr="000257C5">
        <w:t>individually</w:t>
      </w:r>
      <w:proofErr w:type="gramEnd"/>
      <w:r w:rsidRPr="000257C5">
        <w:t xml:space="preserve"> and collectively, to give of our time, talents, and resources to promote the well-being of each other and the development of our local, regional, and global communities. </w:t>
      </w:r>
    </w:p>
    <w:p w14:paraId="6F738138" w14:textId="30759474" w:rsidR="00716E9D" w:rsidRDefault="00D80033" w:rsidP="00FB3533">
      <w:pPr>
        <w:pStyle w:val="NoSpacing"/>
        <w:numPr>
          <w:ilvl w:val="0"/>
          <w:numId w:val="19"/>
        </w:numPr>
      </w:pPr>
      <w:r w:rsidRPr="000257C5">
        <w:rPr>
          <w:b/>
        </w:rPr>
        <w:t>Social Justice:</w:t>
      </w:r>
      <w:r w:rsidRPr="000257C5">
        <w:t xml:space="preserve"> We have the right to be treated and the responsibility to treat others with fairness and equity, the duty to challenge prejudice, and to uphold the laws, policies and procedures that promote justice in all respects. </w:t>
      </w:r>
    </w:p>
    <w:p w14:paraId="49D637E9" w14:textId="17DF6006" w:rsidR="00665B51" w:rsidRPr="00051A64" w:rsidRDefault="005C2528" w:rsidP="00FB3533">
      <w:pPr>
        <w:pStyle w:val="Heading1"/>
      </w:pPr>
      <w:r>
        <w:t xml:space="preserve">Department </w:t>
      </w:r>
      <w:r w:rsidR="008F0030">
        <w:t xml:space="preserve">Statement of </w:t>
      </w:r>
      <w:r>
        <w:t>Copyright</w:t>
      </w:r>
    </w:p>
    <w:p w14:paraId="39751FB4" w14:textId="181B77B9" w:rsidR="00665B51" w:rsidRPr="00036A06" w:rsidRDefault="00665B51" w:rsidP="00DB0240">
      <w:pPr>
        <w:pStyle w:val="NoSpacing"/>
      </w:pPr>
      <w:r w:rsidRPr="00036A06">
        <w:t xml:space="preserve">Please do not share material in this course in online, </w:t>
      </w:r>
      <w:proofErr w:type="gramStart"/>
      <w:r w:rsidRPr="00036A06">
        <w:t>print</w:t>
      </w:r>
      <w:proofErr w:type="gramEnd"/>
      <w:r w:rsidRPr="00036A06">
        <w:t xml:space="preserve"> or other media.  Materials authorized by third parties and used in the course are subject to copyright protection.  Posting course materials on external sites (commercial or not) violates both copyright law and the CSU Student Conduct Code.  Students who share course content without the instructor’s express permission, including with online sites that post materials to sell to other students, could face disciplinary or legal action.</w:t>
      </w:r>
    </w:p>
    <w:p w14:paraId="11DB01BA" w14:textId="77777777" w:rsidR="00320ADB" w:rsidRPr="00320ADB" w:rsidRDefault="00320ADB" w:rsidP="009B083A">
      <w:pPr>
        <w:pStyle w:val="Heading1"/>
      </w:pPr>
      <w:r w:rsidRPr="00320ADB">
        <w:t>Accommodations and Tutoring Options</w:t>
      </w:r>
    </w:p>
    <w:p w14:paraId="49307D62" w14:textId="4B6C85AA" w:rsidR="00634589" w:rsidRPr="00B526A3" w:rsidRDefault="00CA47B6" w:rsidP="00DB0240">
      <w:pPr>
        <w:pStyle w:val="ListParagraph"/>
        <w:numPr>
          <w:ilvl w:val="0"/>
          <w:numId w:val="7"/>
        </w:numPr>
        <w:spacing w:line="240" w:lineRule="auto"/>
        <w:jc w:val="left"/>
        <w:rPr>
          <w:b/>
          <w:bCs/>
        </w:rPr>
      </w:pPr>
      <w:r w:rsidRPr="00CA47B6">
        <w:rPr>
          <w:b/>
          <w:bCs/>
        </w:rPr>
        <w:t>Tell Someone</w:t>
      </w:r>
      <w:r>
        <w:rPr>
          <w:b/>
          <w:bCs/>
        </w:rPr>
        <w:t xml:space="preserve">: </w:t>
      </w:r>
      <w:r w:rsidR="009E17B4" w:rsidRPr="009E17B4">
        <w:rPr>
          <w:b/>
          <w:bCs/>
        </w:rPr>
        <w:t>If you are concerned about safety or mental health – your own or someone else’s, please call (970) 491-1350 or complete the online referral form</w:t>
      </w:r>
      <w:r w:rsidR="009E17B4">
        <w:rPr>
          <w:b/>
          <w:bCs/>
        </w:rPr>
        <w:t xml:space="preserve"> at: </w:t>
      </w:r>
      <w:hyperlink r:id="rId24" w:history="1">
        <w:r w:rsidR="009E17B4" w:rsidRPr="009E17B4">
          <w:rPr>
            <w:rStyle w:val="Hyperlink"/>
            <w:b/>
            <w:bCs/>
          </w:rPr>
          <w:t>https://supportandsafety.colostate.edu/tell-someone/</w:t>
        </w:r>
      </w:hyperlink>
      <w:r w:rsidR="009E17B4">
        <w:rPr>
          <w:b/>
          <w:bCs/>
        </w:rPr>
        <w:t xml:space="preserve">. </w:t>
      </w:r>
      <w:r w:rsidRPr="009E17B4">
        <w:rPr>
          <w:bCs/>
        </w:rPr>
        <w:t xml:space="preserve">Rams take care of Rams. Helping others, speaking up when something doesn’t feel right or when you’re worried about someone else, and reaching out are foundational values at Colorado State University. </w:t>
      </w:r>
      <w:r w:rsidRPr="00634589">
        <w:rPr>
          <w:b/>
          <w:bCs/>
        </w:rPr>
        <w:t>Tell Someone</w:t>
      </w:r>
      <w:r w:rsidRPr="009E17B4">
        <w:rPr>
          <w:bCs/>
        </w:rPr>
        <w:t xml:space="preserve"> is a Colorado State University service where anyone can report concerns about a student or employee who may be struggling with issues such as mental health, stress management, and safety, as well as share concerns about threats of violence (against themselves or others). Through </w:t>
      </w:r>
      <w:r w:rsidRPr="00634589">
        <w:rPr>
          <w:b/>
          <w:bCs/>
        </w:rPr>
        <w:t>Tell Someone</w:t>
      </w:r>
      <w:r w:rsidRPr="009E17B4">
        <w:rPr>
          <w:bCs/>
        </w:rPr>
        <w:t xml:space="preserve">, you can report anything that threatens your safety or the safety of others in the university community. </w:t>
      </w:r>
      <w:r w:rsidRPr="00634589">
        <w:rPr>
          <w:b/>
          <w:bCs/>
        </w:rPr>
        <w:t xml:space="preserve">Tell Someone </w:t>
      </w:r>
      <w:r w:rsidRPr="009E17B4">
        <w:rPr>
          <w:bCs/>
        </w:rPr>
        <w:t xml:space="preserve">is available to seek help for or report a concern about any CSU community member, including employees who work off campus. </w:t>
      </w:r>
      <w:r w:rsidRPr="00634589">
        <w:rPr>
          <w:b/>
          <w:bCs/>
        </w:rPr>
        <w:t xml:space="preserve">Tell Someone </w:t>
      </w:r>
      <w:r w:rsidRPr="009E17B4">
        <w:rPr>
          <w:bCs/>
        </w:rPr>
        <w:t xml:space="preserve">is not designed to get people in trouble; it is designed to help students and employees who may be struggling, as well as help enhance university safety. </w:t>
      </w:r>
      <w:r w:rsidRPr="00634589">
        <w:rPr>
          <w:b/>
          <w:bCs/>
        </w:rPr>
        <w:t>Tell Someone</w:t>
      </w:r>
      <w:r w:rsidRPr="009E17B4">
        <w:rPr>
          <w:bCs/>
        </w:rPr>
        <w:t xml:space="preserve"> is your resource if you’re worried about a friend’s well-being. If a student or employee is disruptive, </w:t>
      </w:r>
      <w:r w:rsidRPr="008F0030">
        <w:rPr>
          <w:b/>
          <w:bCs/>
        </w:rPr>
        <w:t xml:space="preserve">Tell Someone </w:t>
      </w:r>
      <w:r w:rsidRPr="009E17B4">
        <w:rPr>
          <w:bCs/>
        </w:rPr>
        <w:t xml:space="preserve">is the right place to turn for intervention as well as university support to help put consequences and boundaries in place. </w:t>
      </w:r>
      <w:r w:rsidRPr="00634589">
        <w:rPr>
          <w:b/>
          <w:bCs/>
        </w:rPr>
        <w:t>Tell Someone</w:t>
      </w:r>
      <w:r w:rsidRPr="009E17B4">
        <w:rPr>
          <w:bCs/>
        </w:rPr>
        <w:t xml:space="preserve"> is run by the Office of Support and Safety Assessment. The office is comprised of trained specialists who can identify concerns, pathways to resolution, and university resources. </w:t>
      </w:r>
      <w:r w:rsidRPr="00634589">
        <w:rPr>
          <w:b/>
          <w:bCs/>
        </w:rPr>
        <w:t>Tell Someone</w:t>
      </w:r>
      <w:r w:rsidRPr="009E17B4">
        <w:rPr>
          <w:bCs/>
        </w:rPr>
        <w:t xml:space="preserve"> online and phone reports are only </w:t>
      </w:r>
      <w:r w:rsidRPr="009E17B4">
        <w:rPr>
          <w:bCs/>
        </w:rPr>
        <w:lastRenderedPageBreak/>
        <w:t>reviewed during regular business hours. If you believe someone is at risk of immediate harm, call 911.</w:t>
      </w:r>
    </w:p>
    <w:p w14:paraId="2E83B05D" w14:textId="47F1F326" w:rsidR="00B526A3" w:rsidRPr="00B526A3" w:rsidRDefault="00B526A3" w:rsidP="00B526A3">
      <w:pPr>
        <w:pStyle w:val="ListParagraph"/>
        <w:numPr>
          <w:ilvl w:val="0"/>
          <w:numId w:val="7"/>
        </w:numPr>
        <w:spacing w:line="240" w:lineRule="auto"/>
        <w:jc w:val="left"/>
      </w:pPr>
      <w:r>
        <w:rPr>
          <w:b/>
          <w:bCs/>
        </w:rPr>
        <w:t>T</w:t>
      </w:r>
      <w:r w:rsidRPr="007B6AE1">
        <w:rPr>
          <w:b/>
          <w:bCs/>
        </w:rPr>
        <w:t>he Process on Virtual Access Accommodations</w:t>
      </w:r>
      <w:r>
        <w:rPr>
          <w:b/>
          <w:bCs/>
        </w:rPr>
        <w:t xml:space="preserve">: </w:t>
      </w:r>
      <w:r w:rsidRPr="007B6AE1">
        <w:t>Virtual access is an accommodation that allows a student to pursue coursework remotely, and not in the traditional in-person class setting. This is not a substitute for online programs already designed to meet the needs for this type of coursework. The need for this accommodation must be related to a documented disability. Students who are approved for virtual access accommodations should expect this accommodation to be reviewed and determined on a semester-by-semester basis. This accommodation will be evaluated for each class and may be determined that it would not be applicable to a class based on the needs and course objectives.</w:t>
      </w:r>
      <w:r>
        <w:t xml:space="preserve">  </w:t>
      </w:r>
      <w:r w:rsidRPr="007B6AE1">
        <w:rPr>
          <w:b/>
          <w:bCs/>
        </w:rPr>
        <w:t>The Virtual Access Procedures have been posted at </w:t>
      </w:r>
      <w:hyperlink r:id="rId25" w:tooltip="https://disabilitycenter.colostate.edu/policies-and-procedures/virtual-access/" w:history="1">
        <w:r w:rsidRPr="007B6AE1">
          <w:rPr>
            <w:rStyle w:val="Hyperlink"/>
            <w:b/>
            <w:bCs/>
          </w:rPr>
          <w:t>https://disabilitycenter.colostate.edu/policies-and-procedures/virtual-access/</w:t>
        </w:r>
      </w:hyperlink>
      <w:r w:rsidRPr="007B6AE1">
        <w:rPr>
          <w:b/>
          <w:bCs/>
        </w:rPr>
        <w:t>.</w:t>
      </w:r>
    </w:p>
    <w:p w14:paraId="54ABD8CB" w14:textId="4A4D8E4E" w:rsidR="00651739" w:rsidRPr="003254DB" w:rsidRDefault="00320ADB" w:rsidP="00B303AE">
      <w:pPr>
        <w:pStyle w:val="ListParagraph"/>
        <w:numPr>
          <w:ilvl w:val="0"/>
          <w:numId w:val="7"/>
        </w:numPr>
        <w:spacing w:line="240" w:lineRule="auto"/>
        <w:jc w:val="left"/>
        <w:rPr>
          <w:sz w:val="24"/>
          <w:szCs w:val="24"/>
        </w:rPr>
      </w:pPr>
      <w:r w:rsidRPr="00460C68">
        <w:rPr>
          <w:b/>
          <w:bCs/>
        </w:rPr>
        <w:t>Studen</w:t>
      </w:r>
      <w:r w:rsidR="00460C68">
        <w:rPr>
          <w:b/>
          <w:bCs/>
        </w:rPr>
        <w:t>t Disability Center</w:t>
      </w:r>
      <w:r w:rsidRPr="00460C68">
        <w:rPr>
          <w:b/>
          <w:bCs/>
        </w:rPr>
        <w:t xml:space="preserve">: </w:t>
      </w:r>
      <w:r w:rsidRPr="00036A06">
        <w:t xml:space="preserve">Students with disabilities may be eligible for accommodations in accordance with Section 504 of the Rehabilitation Act of 1973 and the Americans with Disabilities Act. It is the student’s responsibility to disclose any learning disabilities. Please contact the instructor if a special accommodation is required. To request accommodations, students should contact </w:t>
      </w:r>
      <w:r w:rsidR="00460C68">
        <w:t>Student Disability Center</w:t>
      </w:r>
      <w:r w:rsidRPr="00036A06">
        <w:t xml:space="preserve"> at (970) 491-6385 or go to</w:t>
      </w:r>
      <w:r w:rsidR="00460C68" w:rsidRPr="00460C68">
        <w:t xml:space="preserve"> </w:t>
      </w:r>
      <w:hyperlink r:id="rId26" w:history="1">
        <w:r w:rsidR="00460C68" w:rsidRPr="003254DB">
          <w:rPr>
            <w:rStyle w:val="Hyperlink"/>
            <w:b/>
            <w:bCs/>
          </w:rPr>
          <w:t>https://disabilitycenter.colostate.edu/</w:t>
        </w:r>
      </w:hyperlink>
      <w:r w:rsidR="00460C68" w:rsidRPr="00460C68">
        <w:rPr>
          <w:sz w:val="24"/>
          <w:szCs w:val="24"/>
        </w:rPr>
        <w:t xml:space="preserve">.  </w:t>
      </w:r>
      <w:r w:rsidRPr="00036A06">
        <w:t>Documentation of disability is required and the RDS office will assist in this process.</w:t>
      </w:r>
    </w:p>
    <w:p w14:paraId="378DAC67" w14:textId="77777777" w:rsidR="00454FE1" w:rsidRDefault="00454FE1" w:rsidP="00454FE1">
      <w:pPr>
        <w:pStyle w:val="ListParagraph"/>
        <w:numPr>
          <w:ilvl w:val="0"/>
          <w:numId w:val="7"/>
        </w:numPr>
        <w:spacing w:line="240" w:lineRule="auto"/>
        <w:jc w:val="left"/>
      </w:pPr>
      <w:r w:rsidRPr="00620E00">
        <w:rPr>
          <w:b/>
          <w:bCs/>
        </w:rPr>
        <w:t>The </w:t>
      </w:r>
      <w:hyperlink r:id="rId27" w:tgtFrame="_blank" w:tooltip="https://studentaffairs.colostate.edu/resources/resources-faculty-staff/administrative-information/religious-holidays/" w:history="1">
        <w:r w:rsidRPr="00620E00">
          <w:rPr>
            <w:rStyle w:val="Hyperlink"/>
            <w:b/>
            <w:bCs/>
          </w:rPr>
          <w:t>Religious Accommodation Request Form</w:t>
        </w:r>
      </w:hyperlink>
      <w:r w:rsidRPr="00620E00">
        <w:t xml:space="preserve"> is used to submit a request for accommodations if you (the student) may be absent from class(es) due to a regularly occurring religious holiday or observance.  Additional </w:t>
      </w:r>
      <w:hyperlink r:id="rId28" w:tgtFrame="_blank" w:tooltip="https://undocumented.colostate.edu/" w:history="1">
        <w:r w:rsidRPr="00620E00">
          <w:rPr>
            <w:rStyle w:val="Hyperlink"/>
          </w:rPr>
          <w:t>resources for undocumented students</w:t>
        </w:r>
      </w:hyperlink>
      <w:r w:rsidRPr="00620E00">
        <w:t>, and those suffering from i</w:t>
      </w:r>
      <w:hyperlink r:id="rId29" w:tgtFrame="_blank" w:tooltip="https://wgac.colostate.edu/involvement/victim-assistance-team-volunteers/" w:history="1">
        <w:r w:rsidRPr="00620E00">
          <w:rPr>
            <w:rStyle w:val="Hyperlink"/>
          </w:rPr>
          <w:t>nterpersonal violence</w:t>
        </w:r>
      </w:hyperlink>
      <w:r w:rsidRPr="00620E00">
        <w:t xml:space="preserve"> can be found through the links provided. </w:t>
      </w:r>
    </w:p>
    <w:p w14:paraId="65C3F38F" w14:textId="06C3DC1F" w:rsidR="003254DB" w:rsidRPr="00454FE1" w:rsidRDefault="00454FE1" w:rsidP="00454FE1">
      <w:pPr>
        <w:pStyle w:val="ListParagraph"/>
        <w:numPr>
          <w:ilvl w:val="0"/>
          <w:numId w:val="7"/>
        </w:numPr>
        <w:spacing w:line="240" w:lineRule="auto"/>
        <w:jc w:val="left"/>
      </w:pPr>
      <w:r w:rsidRPr="002F02A7">
        <w:rPr>
          <w:b/>
        </w:rPr>
        <w:t>TILT Tutoring:</w:t>
      </w:r>
      <w:r w:rsidRPr="00036A06">
        <w:t xml:space="preserve"> </w:t>
      </w:r>
      <w:r>
        <w:t xml:space="preserve">Academic support </w:t>
      </w:r>
      <w:r w:rsidRPr="00036A06">
        <w:t>is available through The Institute for Learning and Teaching (TILT</w:t>
      </w:r>
      <w:r>
        <w:t xml:space="preserve">).  </w:t>
      </w:r>
      <w:r w:rsidRPr="00036A06">
        <w:t>For more information</w:t>
      </w:r>
      <w:r>
        <w:t xml:space="preserve"> - </w:t>
      </w:r>
      <w:r w:rsidRPr="001A2F25">
        <w:t xml:space="preserve"> </w:t>
      </w:r>
      <w:hyperlink r:id="rId30" w:history="1">
        <w:r>
          <w:rPr>
            <w:rStyle w:val="Hyperlink"/>
          </w:rPr>
          <w:t>https://tilt.colostate.edu/Undergrad</w:t>
        </w:r>
      </w:hyperlink>
    </w:p>
    <w:p w14:paraId="5FA8C587" w14:textId="1C5931A3" w:rsidR="00651739" w:rsidRPr="00036A06" w:rsidRDefault="00320ADB" w:rsidP="00DB0240">
      <w:pPr>
        <w:pStyle w:val="NoSpacing"/>
        <w:numPr>
          <w:ilvl w:val="0"/>
          <w:numId w:val="6"/>
        </w:numPr>
      </w:pPr>
      <w:r w:rsidRPr="00036A06">
        <w:rPr>
          <w:b/>
        </w:rPr>
        <w:t>Writing Center:</w:t>
      </w:r>
      <w:r w:rsidRPr="00036A06">
        <w:t xml:space="preserve"> Help with written assignments can be found at the Writing Center </w:t>
      </w:r>
    </w:p>
    <w:p w14:paraId="7B208E9F" w14:textId="68AEA774" w:rsidR="00AC291E" w:rsidRPr="00036A06" w:rsidRDefault="00651739" w:rsidP="00DB0240">
      <w:pPr>
        <w:pStyle w:val="NoSpacing"/>
      </w:pPr>
      <w:r w:rsidRPr="00036A06">
        <w:t xml:space="preserve"> </w:t>
      </w:r>
    </w:p>
    <w:p w14:paraId="39224A69" w14:textId="4F9741DE" w:rsidR="00320ADB" w:rsidRPr="003C7F85" w:rsidRDefault="00320ADB" w:rsidP="00DB0240">
      <w:pPr>
        <w:pStyle w:val="NoSpacing"/>
        <w:numPr>
          <w:ilvl w:val="0"/>
          <w:numId w:val="6"/>
        </w:numPr>
        <w:rPr>
          <w:rStyle w:val="Hyperlink"/>
          <w:color w:val="auto"/>
          <w:sz w:val="22"/>
          <w:szCs w:val="22"/>
          <w:u w:val="none"/>
        </w:rPr>
      </w:pPr>
      <w:r w:rsidRPr="00036A06">
        <w:rPr>
          <w:b/>
        </w:rPr>
        <w:t>Canvas technical support</w:t>
      </w:r>
      <w:r w:rsidRPr="00036A06">
        <w:t xml:space="preserve">: </w:t>
      </w:r>
      <w:hyperlink r:id="rId31">
        <w:r w:rsidRPr="00036A06">
          <w:rPr>
            <w:rStyle w:val="Hyperlink"/>
            <w:rFonts w:cstheme="minorHAnsi"/>
            <w:sz w:val="22"/>
            <w:szCs w:val="22"/>
          </w:rPr>
          <w:t>http://info.canvas.colostate.edu/student-resources.aspx</w:t>
        </w:r>
      </w:hyperlink>
    </w:p>
    <w:p w14:paraId="78C6CB5E" w14:textId="07DBBBFE" w:rsidR="003C7F85" w:rsidRDefault="003C7F85" w:rsidP="00DB0240">
      <w:pPr>
        <w:pStyle w:val="NoSpacing"/>
      </w:pPr>
    </w:p>
    <w:p w14:paraId="5C1C4703" w14:textId="77777777" w:rsidR="00800DD0" w:rsidRPr="00036A06" w:rsidRDefault="00800DD0" w:rsidP="00DB0240">
      <w:pPr>
        <w:pStyle w:val="NoSpacing"/>
      </w:pPr>
    </w:p>
    <w:p w14:paraId="6C561B2E" w14:textId="77777777" w:rsidR="00077130" w:rsidRDefault="00077130" w:rsidP="00DB0240">
      <w:pPr>
        <w:pStyle w:val="NoSpacing"/>
        <w:rPr>
          <w:rStyle w:val="Heading1Char"/>
        </w:rPr>
      </w:pPr>
      <w:r w:rsidRPr="0074319D">
        <w:rPr>
          <w:rStyle w:val="Heading1Char"/>
        </w:rPr>
        <w:t>Technological Requirements</w:t>
      </w:r>
    </w:p>
    <w:p w14:paraId="3E5DA826" w14:textId="3C047947" w:rsidR="00077130" w:rsidRPr="0074319D" w:rsidRDefault="00077130" w:rsidP="00DB0240">
      <w:pPr>
        <w:pStyle w:val="NoSpacing"/>
      </w:pPr>
      <w:r w:rsidRPr="0058148D">
        <w:br/>
      </w:r>
      <w:r w:rsidRPr="0074319D">
        <w:t xml:space="preserve">All courses will require that students have </w:t>
      </w:r>
      <w:r w:rsidR="00800DD0">
        <w:t>access to internet and a computer</w:t>
      </w:r>
      <w:r w:rsidRPr="0074319D">
        <w:t xml:space="preserve">.  Students can check out an iPad from the library </w:t>
      </w:r>
      <w:r w:rsidRPr="0074319D">
        <w:rPr>
          <w:b/>
        </w:rPr>
        <w:t>(</w:t>
      </w:r>
      <w:hyperlink r:id="rId32" w:history="1">
        <w:r w:rsidRPr="0074319D">
          <w:rPr>
            <w:rStyle w:val="Hyperlink"/>
            <w:b/>
            <w:bCs/>
            <w:sz w:val="22"/>
            <w:szCs w:val="22"/>
          </w:rPr>
          <w:t>Library site</w:t>
        </w:r>
      </w:hyperlink>
      <w:r w:rsidRPr="0074319D">
        <w:rPr>
          <w:b/>
        </w:rPr>
        <w:t>)</w:t>
      </w:r>
      <w:r w:rsidRPr="0074319D">
        <w:t xml:space="preserve"> or use a computer in a computer lab.  Exams can also be scheduled at the CSU Testing Center (costs about $5/30 minutes/exam cost to CSU students). </w:t>
      </w:r>
    </w:p>
    <w:p w14:paraId="2A089E23" w14:textId="77777777" w:rsidR="00077130" w:rsidRPr="0074319D" w:rsidRDefault="00077130" w:rsidP="00DB0240">
      <w:pPr>
        <w:pStyle w:val="NoSpacing"/>
      </w:pPr>
    </w:p>
    <w:p w14:paraId="27A76082" w14:textId="77777777" w:rsidR="00077130" w:rsidRPr="0074319D" w:rsidRDefault="00077130" w:rsidP="00DB0240">
      <w:pPr>
        <w:pStyle w:val="NoSpacing"/>
      </w:pPr>
      <w:r w:rsidRPr="0074319D">
        <w:t>The technology requirements for this course are listed below: </w:t>
      </w:r>
    </w:p>
    <w:p w14:paraId="5B2E331E" w14:textId="77777777" w:rsidR="00077130" w:rsidRPr="0074319D" w:rsidRDefault="00077130" w:rsidP="00DB0240">
      <w:pPr>
        <w:pStyle w:val="NoSpacing"/>
      </w:pPr>
    </w:p>
    <w:p w14:paraId="166BE237" w14:textId="77777777" w:rsidR="00077130" w:rsidRPr="0074319D" w:rsidRDefault="00077130" w:rsidP="00DB0240">
      <w:pPr>
        <w:pStyle w:val="NoSpacing"/>
        <w:rPr>
          <w:b/>
          <w:bCs/>
          <w:sz w:val="22"/>
          <w:szCs w:val="22"/>
        </w:rPr>
      </w:pPr>
      <w:r w:rsidRPr="0074319D">
        <w:rPr>
          <w:b/>
          <w:bCs/>
          <w:sz w:val="22"/>
          <w:szCs w:val="22"/>
        </w:rPr>
        <w:t>Hardware (see </w:t>
      </w:r>
      <w:hyperlink r:id="rId33" w:history="1">
        <w:r w:rsidRPr="0074319D">
          <w:rPr>
            <w:rStyle w:val="Hyperlink"/>
            <w:b/>
            <w:bCs/>
            <w:sz w:val="22"/>
            <w:szCs w:val="22"/>
          </w:rPr>
          <w:t>recommendations from CSU</w:t>
        </w:r>
      </w:hyperlink>
      <w:r w:rsidRPr="0074319D">
        <w:rPr>
          <w:b/>
          <w:bCs/>
          <w:sz w:val="22"/>
          <w:szCs w:val="22"/>
        </w:rPr>
        <w:t>) </w:t>
      </w:r>
    </w:p>
    <w:p w14:paraId="43D20310" w14:textId="77777777" w:rsidR="00077130" w:rsidRPr="0074319D" w:rsidRDefault="00077130" w:rsidP="00DB0240">
      <w:pPr>
        <w:pStyle w:val="NoSpacing"/>
        <w:numPr>
          <w:ilvl w:val="1"/>
          <w:numId w:val="12"/>
        </w:numPr>
      </w:pPr>
      <w:r w:rsidRPr="0074319D">
        <w:t>A Windows or Macintosh computer with at least 2 GB of RAM and a fast, reliable broadband Internet connection (e.g., cable, DSL). </w:t>
      </w:r>
    </w:p>
    <w:p w14:paraId="6ACC67A8" w14:textId="77777777" w:rsidR="00077130" w:rsidRPr="0074319D" w:rsidRDefault="00077130" w:rsidP="00DB0240">
      <w:pPr>
        <w:pStyle w:val="NoSpacing"/>
        <w:numPr>
          <w:ilvl w:val="1"/>
          <w:numId w:val="12"/>
        </w:numPr>
      </w:pPr>
      <w:r w:rsidRPr="0074319D">
        <w:t>Recommended computer monitors and laptop screen size be 13-inches or larger for optimum visibility of course material. </w:t>
      </w:r>
    </w:p>
    <w:p w14:paraId="3EB198FC" w14:textId="77777777" w:rsidR="00077130" w:rsidRPr="0074319D" w:rsidRDefault="00077130" w:rsidP="00DB0240">
      <w:pPr>
        <w:pStyle w:val="NoSpacing"/>
        <w:numPr>
          <w:ilvl w:val="1"/>
          <w:numId w:val="12"/>
        </w:numPr>
      </w:pPr>
      <w:r w:rsidRPr="0074319D">
        <w:t>Computer speakers or headphones to listen to recorded content. </w:t>
      </w:r>
    </w:p>
    <w:p w14:paraId="3E46C640" w14:textId="77777777" w:rsidR="00077130" w:rsidRPr="0074319D" w:rsidRDefault="00077130" w:rsidP="00DB0240">
      <w:pPr>
        <w:pStyle w:val="NoSpacing"/>
        <w:numPr>
          <w:ilvl w:val="2"/>
          <w:numId w:val="12"/>
        </w:numPr>
      </w:pPr>
      <w:r w:rsidRPr="0074319D">
        <w:t>A </w:t>
      </w:r>
      <w:r w:rsidRPr="0074319D">
        <w:rPr>
          <w:u w:val="single"/>
        </w:rPr>
        <w:t>webcam</w:t>
      </w:r>
      <w:r w:rsidRPr="0074319D">
        <w:t> or other camera may also be necessary if proctoring services are used in this course. </w:t>
      </w:r>
    </w:p>
    <w:p w14:paraId="3C3062C3" w14:textId="77777777" w:rsidR="00077130" w:rsidRPr="0074319D" w:rsidRDefault="00077130" w:rsidP="00DB0240">
      <w:pPr>
        <w:pStyle w:val="NoSpacing"/>
        <w:numPr>
          <w:ilvl w:val="1"/>
          <w:numId w:val="12"/>
        </w:numPr>
      </w:pPr>
      <w:r w:rsidRPr="0074319D">
        <w:t>Enough space on your computer for </w:t>
      </w:r>
    </w:p>
    <w:p w14:paraId="2749A0B1" w14:textId="77777777" w:rsidR="00077130" w:rsidRPr="0074319D" w:rsidRDefault="00077130" w:rsidP="00DB0240">
      <w:pPr>
        <w:pStyle w:val="NoSpacing"/>
        <w:numPr>
          <w:ilvl w:val="2"/>
          <w:numId w:val="12"/>
        </w:numPr>
      </w:pPr>
      <w:r w:rsidRPr="0074319D">
        <w:t>install the required and recommended software and,</w:t>
      </w:r>
    </w:p>
    <w:p w14:paraId="4EA67593" w14:textId="77777777" w:rsidR="00077130" w:rsidRPr="0074319D" w:rsidRDefault="00077130" w:rsidP="00DB0240">
      <w:pPr>
        <w:pStyle w:val="NoSpacing"/>
        <w:numPr>
          <w:ilvl w:val="2"/>
          <w:numId w:val="12"/>
        </w:numPr>
      </w:pPr>
      <w:r w:rsidRPr="0074319D">
        <w:lastRenderedPageBreak/>
        <w:t>save your course assignments.</w:t>
      </w:r>
    </w:p>
    <w:p w14:paraId="62F968FC" w14:textId="77777777" w:rsidR="00077130" w:rsidRPr="0074319D" w:rsidRDefault="00077130" w:rsidP="00DB0240">
      <w:pPr>
        <w:pStyle w:val="NoSpacing"/>
      </w:pPr>
    </w:p>
    <w:p w14:paraId="153D6A8F" w14:textId="77777777" w:rsidR="00077130" w:rsidRPr="0074319D" w:rsidRDefault="00077130" w:rsidP="00DB0240">
      <w:pPr>
        <w:pStyle w:val="NoSpacing"/>
        <w:rPr>
          <w:b/>
          <w:bCs/>
          <w:sz w:val="22"/>
          <w:szCs w:val="22"/>
        </w:rPr>
      </w:pPr>
      <w:r w:rsidRPr="0074319D">
        <w:rPr>
          <w:b/>
          <w:bCs/>
          <w:sz w:val="22"/>
          <w:szCs w:val="22"/>
        </w:rPr>
        <w:t>Software (see </w:t>
      </w:r>
      <w:hyperlink r:id="rId34" w:history="1">
        <w:r w:rsidRPr="0074319D">
          <w:rPr>
            <w:rStyle w:val="Hyperlink"/>
            <w:b/>
            <w:bCs/>
            <w:sz w:val="22"/>
            <w:szCs w:val="22"/>
          </w:rPr>
          <w:t>recommendations from CSU</w:t>
        </w:r>
      </w:hyperlink>
      <w:r w:rsidRPr="0074319D">
        <w:rPr>
          <w:b/>
          <w:bCs/>
          <w:sz w:val="22"/>
          <w:szCs w:val="22"/>
        </w:rPr>
        <w:t>) </w:t>
      </w:r>
    </w:p>
    <w:p w14:paraId="702DAFB6" w14:textId="77777777" w:rsidR="00077130" w:rsidRPr="0074319D" w:rsidRDefault="00077130" w:rsidP="00DB0240">
      <w:pPr>
        <w:pStyle w:val="NoSpacing"/>
        <w:numPr>
          <w:ilvl w:val="1"/>
          <w:numId w:val="11"/>
        </w:numPr>
      </w:pPr>
      <w:r w:rsidRPr="0074319D">
        <w:t>Web browsers </w:t>
      </w:r>
    </w:p>
    <w:p w14:paraId="23BAC910" w14:textId="77777777" w:rsidR="00077130" w:rsidRPr="0074319D" w:rsidRDefault="00077130" w:rsidP="00DB0240">
      <w:pPr>
        <w:pStyle w:val="NoSpacing"/>
        <w:numPr>
          <w:ilvl w:val="2"/>
          <w:numId w:val="11"/>
        </w:numPr>
        <w:rPr>
          <w:bCs/>
          <w:sz w:val="22"/>
          <w:szCs w:val="22"/>
        </w:rPr>
      </w:pPr>
      <w:r w:rsidRPr="0074319D">
        <w:rPr>
          <w:bCs/>
          <w:sz w:val="22"/>
          <w:szCs w:val="22"/>
        </w:rPr>
        <w:t>Firefox generally works well with CSU websites - </w:t>
      </w:r>
      <w:hyperlink r:id="rId35" w:history="1">
        <w:r w:rsidRPr="0074319D">
          <w:rPr>
            <w:rStyle w:val="Hyperlink"/>
            <w:bCs/>
            <w:sz w:val="22"/>
            <w:szCs w:val="22"/>
          </w:rPr>
          <w:t>free download</w:t>
        </w:r>
      </w:hyperlink>
    </w:p>
    <w:p w14:paraId="4FC02CAD" w14:textId="77777777" w:rsidR="00077130" w:rsidRPr="0074319D" w:rsidRDefault="00077130" w:rsidP="00DB0240">
      <w:pPr>
        <w:pStyle w:val="NoSpacing"/>
        <w:numPr>
          <w:ilvl w:val="2"/>
          <w:numId w:val="11"/>
        </w:numPr>
        <w:rPr>
          <w:bCs/>
          <w:sz w:val="22"/>
          <w:szCs w:val="22"/>
        </w:rPr>
      </w:pPr>
      <w:r w:rsidRPr="0074319D">
        <w:rPr>
          <w:bCs/>
          <w:sz w:val="22"/>
          <w:szCs w:val="22"/>
        </w:rPr>
        <w:t>Chrome: </w:t>
      </w:r>
      <w:hyperlink r:id="rId36" w:history="1">
        <w:r w:rsidRPr="0074319D">
          <w:rPr>
            <w:rStyle w:val="Hyperlink"/>
            <w:bCs/>
            <w:sz w:val="22"/>
            <w:szCs w:val="22"/>
          </w:rPr>
          <w:t>free download</w:t>
        </w:r>
      </w:hyperlink>
    </w:p>
    <w:p w14:paraId="1A7EB5BA" w14:textId="77777777" w:rsidR="00077130" w:rsidRPr="0074319D" w:rsidRDefault="00077130" w:rsidP="00DB0240">
      <w:pPr>
        <w:pStyle w:val="NoSpacing"/>
        <w:numPr>
          <w:ilvl w:val="1"/>
          <w:numId w:val="11"/>
        </w:numPr>
        <w:rPr>
          <w:bCs/>
          <w:sz w:val="22"/>
          <w:szCs w:val="22"/>
        </w:rPr>
      </w:pPr>
      <w:r w:rsidRPr="0074319D">
        <w:rPr>
          <w:bCs/>
          <w:sz w:val="22"/>
          <w:szCs w:val="22"/>
        </w:rPr>
        <w:t>Adobe Acrobat Reader (</w:t>
      </w:r>
      <w:hyperlink r:id="rId37" w:history="1">
        <w:r w:rsidRPr="0074319D">
          <w:rPr>
            <w:rStyle w:val="Hyperlink"/>
            <w:bCs/>
            <w:sz w:val="22"/>
            <w:szCs w:val="22"/>
          </w:rPr>
          <w:t>free download</w:t>
        </w:r>
      </w:hyperlink>
      <w:r w:rsidRPr="0074319D">
        <w:rPr>
          <w:bCs/>
          <w:sz w:val="22"/>
          <w:szCs w:val="22"/>
        </w:rPr>
        <w:t>) </w:t>
      </w:r>
    </w:p>
    <w:p w14:paraId="0A0E61FD" w14:textId="77777777" w:rsidR="00077130" w:rsidRPr="0074319D" w:rsidRDefault="00077130" w:rsidP="00DB0240">
      <w:pPr>
        <w:pStyle w:val="NoSpacing"/>
        <w:numPr>
          <w:ilvl w:val="1"/>
          <w:numId w:val="11"/>
        </w:numPr>
        <w:rPr>
          <w:bCs/>
          <w:sz w:val="22"/>
          <w:szCs w:val="22"/>
        </w:rPr>
      </w:pPr>
      <w:r w:rsidRPr="0074319D">
        <w:rPr>
          <w:bCs/>
          <w:sz w:val="22"/>
          <w:szCs w:val="22"/>
        </w:rPr>
        <w:t>Flash Player (</w:t>
      </w:r>
      <w:hyperlink r:id="rId38" w:history="1">
        <w:r w:rsidRPr="0074319D">
          <w:rPr>
            <w:rStyle w:val="Hyperlink"/>
            <w:bCs/>
            <w:sz w:val="22"/>
            <w:szCs w:val="22"/>
          </w:rPr>
          <w:t>free download</w:t>
        </w:r>
      </w:hyperlink>
      <w:r w:rsidRPr="0074319D">
        <w:rPr>
          <w:bCs/>
          <w:sz w:val="22"/>
          <w:szCs w:val="22"/>
        </w:rPr>
        <w:t>) </w:t>
      </w:r>
    </w:p>
    <w:p w14:paraId="66FF5469" w14:textId="7EDEC633" w:rsidR="00077130" w:rsidRDefault="00077130" w:rsidP="00DB0240">
      <w:pPr>
        <w:pStyle w:val="NoSpacing"/>
        <w:numPr>
          <w:ilvl w:val="1"/>
          <w:numId w:val="11"/>
        </w:numPr>
        <w:rPr>
          <w:bCs/>
          <w:sz w:val="22"/>
          <w:szCs w:val="22"/>
        </w:rPr>
      </w:pPr>
      <w:r w:rsidRPr="0074319D">
        <w:rPr>
          <w:bCs/>
          <w:sz w:val="22"/>
          <w:szCs w:val="22"/>
        </w:rPr>
        <w:t>Microsoft Office (</w:t>
      </w:r>
      <w:hyperlink r:id="rId39" w:history="1">
        <w:r w:rsidRPr="0074319D">
          <w:rPr>
            <w:rStyle w:val="Hyperlink"/>
            <w:bCs/>
            <w:sz w:val="22"/>
            <w:szCs w:val="22"/>
          </w:rPr>
          <w:t>free download</w:t>
        </w:r>
      </w:hyperlink>
      <w:r w:rsidRPr="0074319D">
        <w:rPr>
          <w:bCs/>
          <w:sz w:val="22"/>
          <w:szCs w:val="22"/>
        </w:rPr>
        <w:t> through CSU)</w:t>
      </w:r>
    </w:p>
    <w:p w14:paraId="42D1CD72" w14:textId="77777777" w:rsidR="009237A6" w:rsidRPr="006A6E15" w:rsidRDefault="009237A6" w:rsidP="009237A6">
      <w:pPr>
        <w:pStyle w:val="Heading1"/>
        <w:rPr>
          <w:rFonts w:eastAsia="Calibri"/>
        </w:rPr>
      </w:pPr>
      <w:r w:rsidRPr="006A6E15">
        <w:rPr>
          <w:rFonts w:eastAsia="Calibri"/>
        </w:rPr>
        <w:t>Third-Party Tools/Privacy</w:t>
      </w:r>
    </w:p>
    <w:p w14:paraId="05C37572" w14:textId="77777777" w:rsidR="009237A6" w:rsidRDefault="009237A6" w:rsidP="009237A6">
      <w:pPr>
        <w:pStyle w:val="NoSpacing"/>
      </w:pPr>
      <w:r w:rsidRPr="006A6E15">
        <w:t xml:space="preserve">Please note that this course may require you to use third-party tools (tools outside of the Canvas learning management system), such as Zoom and others. Some of these tools may collect and share information about their users. Because your privacy is important, you are encouraged to consult the privacy policies for any third-party tools in this course so that you are aware of how your personal information is collected, </w:t>
      </w:r>
      <w:proofErr w:type="gramStart"/>
      <w:r w:rsidRPr="006A6E15">
        <w:t>used</w:t>
      </w:r>
      <w:proofErr w:type="gramEnd"/>
      <w:r w:rsidRPr="006A6E15">
        <w:t xml:space="preserve"> and shared.   </w:t>
      </w:r>
    </w:p>
    <w:p w14:paraId="748C3B74" w14:textId="77777777" w:rsidR="009237A6" w:rsidRPr="00077130" w:rsidRDefault="009237A6" w:rsidP="009237A6">
      <w:pPr>
        <w:pStyle w:val="NoSpacing"/>
        <w:rPr>
          <w:bCs/>
          <w:sz w:val="22"/>
          <w:szCs w:val="22"/>
        </w:rPr>
      </w:pPr>
    </w:p>
    <w:p w14:paraId="43A44922" w14:textId="78581A8C" w:rsidR="00320ADB" w:rsidRPr="00320ADB" w:rsidRDefault="00320ADB" w:rsidP="004A0BD0">
      <w:pPr>
        <w:pStyle w:val="Heading1"/>
      </w:pPr>
      <w:r w:rsidRPr="00320ADB">
        <w:t>T</w:t>
      </w:r>
      <w:r w:rsidR="00282250">
        <w:t>itle</w:t>
      </w:r>
      <w:r w:rsidRPr="00320ADB">
        <w:t xml:space="preserve"> IX</w:t>
      </w:r>
    </w:p>
    <w:p w14:paraId="0A0CC0D5" w14:textId="262CD86C" w:rsidR="005E6CCE" w:rsidRPr="00E0647A" w:rsidRDefault="00320ADB" w:rsidP="00DB0240">
      <w:pPr>
        <w:pStyle w:val="NoSpacing"/>
      </w:pPr>
      <w:r w:rsidRPr="00036A06">
        <w:t xml:space="preserve">CSU’s Discrimination, Harassment, Sexual Harassment, Sexual Misconduct, Domestic Violence, Dating Violence, Stalking, and Retaliation policy designates faculty and employees of the University as “Responsible Employees.” This designation is consistent with federal law and </w:t>
      </w:r>
      <w:proofErr w:type="gramStart"/>
      <w:r w:rsidRPr="00036A06">
        <w:t>guidance, and</w:t>
      </w:r>
      <w:proofErr w:type="gramEnd"/>
      <w:r w:rsidRPr="00036A06">
        <w:t xml:space="preserve"> requires faculty to report information regarding students who may have experienced any form of sexual harassment, sexual misconduct, relationship violence, stalking or retaliation. This includes information shared with faculty in person, electronic communications or in class assignments. As “Responsible Employees,” faculty may refer students to campus resources (see below), together with informing the Office of Support and Safety Assessment to help ensure student safety and welfare. Information regarding sexual harassment, sexual misconduct, relationship violence, stalking and retaliation is treated with the greatest degree of confidentiality possible while also ensuring student and campus safety. Any student who may be the victim of sexual harassment, sexual misconduct, relationship violence, stalking or retaliation is encouraged to report to CSU through one or more of the following resources: Emergency Response 911, Deputy Title IX Coordinator/Office of Support and Safety Assessment (970) 491-1350, Colorado State University Police Department (non-emergency) (970) 491-6425. For counseling support and assistance, please see the CSU Health Network, which includes a variety of counseling services that can be accessed at: </w:t>
      </w:r>
      <w:hyperlink r:id="rId40" w:history="1">
        <w:r w:rsidRPr="00036A06">
          <w:rPr>
            <w:rStyle w:val="Hyperlink"/>
            <w:rFonts w:cstheme="minorHAnsi"/>
            <w:sz w:val="22"/>
            <w:szCs w:val="22"/>
          </w:rPr>
          <w:t>http://www.health.colostate.edu/</w:t>
        </w:r>
      </w:hyperlink>
      <w:r w:rsidRPr="00036A06">
        <w:t xml:space="preserve"> . The Sexual Assault Victim Assistance Team is a confidential student resource that does not have a reporting requirement: </w:t>
      </w:r>
      <w:hyperlink r:id="rId41" w:history="1">
        <w:r w:rsidR="00E0647A" w:rsidRPr="00E0647A">
          <w:rPr>
            <w:rStyle w:val="Hyperlink"/>
            <w:sz w:val="22"/>
            <w:szCs w:val="22"/>
          </w:rPr>
          <w:t>https://wgac.colostate.edu/support/</w:t>
        </w:r>
      </w:hyperlink>
      <w:r w:rsidRPr="00E0647A">
        <w:t>.</w:t>
      </w:r>
    </w:p>
    <w:p w14:paraId="1D872162" w14:textId="77777777" w:rsidR="009B083A" w:rsidRDefault="009B083A" w:rsidP="009B083A">
      <w:pPr>
        <w:pStyle w:val="Heading1"/>
      </w:pPr>
      <w:r w:rsidRPr="00051A64">
        <w:t>Disclaimer</w:t>
      </w:r>
      <w:r w:rsidRPr="0030493D">
        <w:t xml:space="preserve">  </w:t>
      </w:r>
    </w:p>
    <w:p w14:paraId="29E08BF8" w14:textId="71043BC4" w:rsidR="00766C0A" w:rsidRDefault="009B083A" w:rsidP="00DB0240">
      <w:pPr>
        <w:pStyle w:val="NoSpacing"/>
        <w:rPr>
          <w:rFonts w:cstheme="minorHAnsi"/>
          <w:bCs/>
        </w:rPr>
      </w:pPr>
      <w:proofErr w:type="gramStart"/>
      <w:r w:rsidRPr="00036A06">
        <w:t>All of</w:t>
      </w:r>
      <w:proofErr w:type="gramEnd"/>
      <w:r w:rsidRPr="00036A06">
        <w:t xml:space="preserve"> the information in this course syllabus is subject to change when deemed necessary by the instructor. Students will be notified verbally in class, via postings on the class homepage, or by email if such changes occur.</w:t>
      </w:r>
    </w:p>
    <w:p w14:paraId="4A75C530" w14:textId="231AAD5D" w:rsidR="00800DD0" w:rsidRDefault="00800DD0" w:rsidP="00DB0240">
      <w:pPr>
        <w:pStyle w:val="NoSpacing"/>
      </w:pPr>
    </w:p>
    <w:p w14:paraId="6BA6CC87" w14:textId="7F077BFD" w:rsidR="00800DD0" w:rsidRDefault="00800DD0" w:rsidP="00800DD0">
      <w:pPr>
        <w:pStyle w:val="Heading1"/>
      </w:pPr>
      <w:bookmarkStart w:id="0" w:name="_Hlk91693501"/>
      <w:r>
        <w:tab/>
      </w:r>
      <w:r>
        <w:tab/>
      </w:r>
    </w:p>
    <w:bookmarkEnd w:id="0"/>
    <w:p w14:paraId="517983FA" w14:textId="77777777" w:rsidR="00800DD0" w:rsidRPr="00800DD0" w:rsidRDefault="00800DD0" w:rsidP="00DB0240">
      <w:pPr>
        <w:pStyle w:val="NoSpacing"/>
      </w:pPr>
    </w:p>
    <w:sectPr w:rsidR="00800DD0" w:rsidRPr="00800DD0" w:rsidSect="00DD436C">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E118" w14:textId="77777777" w:rsidR="00F6139A" w:rsidRDefault="00F6139A" w:rsidP="00AE2E3B">
      <w:r>
        <w:separator/>
      </w:r>
    </w:p>
  </w:endnote>
  <w:endnote w:type="continuationSeparator" w:id="0">
    <w:p w14:paraId="6FC827F9" w14:textId="77777777" w:rsidR="00F6139A" w:rsidRDefault="00F6139A" w:rsidP="00AE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D35" w14:textId="77777777" w:rsidR="007A6AA7" w:rsidRDefault="007A6AA7" w:rsidP="003C62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A8D7F" w14:textId="77777777" w:rsidR="007A6AA7" w:rsidRDefault="007A6AA7" w:rsidP="00AC2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9197" w14:textId="77777777" w:rsidR="007A6AA7" w:rsidRDefault="007A6AA7" w:rsidP="003C62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58C0682" w14:textId="46604F1E" w:rsidR="007A6AA7" w:rsidRPr="00DD436C" w:rsidRDefault="007A6AA7" w:rsidP="00AC291E">
    <w:pPr>
      <w:pStyle w:val="Footer"/>
      <w:ind w:right="360"/>
      <w:jc w:val="right"/>
      <w:rPr>
        <w:color w:val="808080" w:themeColor="background1" w:themeShade="80"/>
      </w:rPr>
    </w:pPr>
  </w:p>
  <w:p w14:paraId="47E28CE2" w14:textId="77777777" w:rsidR="007A6AA7" w:rsidRDefault="007A6AA7" w:rsidP="00AE2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46871"/>
      <w:docPartObj>
        <w:docPartGallery w:val="Page Numbers (Bottom of Page)"/>
        <w:docPartUnique/>
      </w:docPartObj>
    </w:sdtPr>
    <w:sdtEndPr/>
    <w:sdtContent>
      <w:sdt>
        <w:sdtPr>
          <w:id w:val="-1669238322"/>
          <w:docPartObj>
            <w:docPartGallery w:val="Page Numbers (Top of Page)"/>
            <w:docPartUnique/>
          </w:docPartObj>
        </w:sdtPr>
        <w:sdtEndPr/>
        <w:sdtContent>
          <w:p w14:paraId="59EB5BEA" w14:textId="79CA2FDA" w:rsidR="007A6AA7" w:rsidRDefault="007A6AA7">
            <w:pPr>
              <w:pStyle w:val="Footer"/>
              <w:jc w:val="center"/>
            </w:pPr>
            <w:r w:rsidRPr="005072EB">
              <w:rPr>
                <w:sz w:val="20"/>
              </w:rPr>
              <w:t xml:space="preserve">Page </w:t>
            </w:r>
            <w:r w:rsidRPr="005072EB">
              <w:rPr>
                <w:b/>
                <w:bCs/>
                <w:szCs w:val="24"/>
              </w:rPr>
              <w:fldChar w:fldCharType="begin"/>
            </w:r>
            <w:r w:rsidRPr="005072EB">
              <w:rPr>
                <w:b/>
                <w:bCs/>
                <w:sz w:val="20"/>
              </w:rPr>
              <w:instrText xml:space="preserve"> PAGE </w:instrText>
            </w:r>
            <w:r w:rsidRPr="005072EB">
              <w:rPr>
                <w:b/>
                <w:bCs/>
                <w:szCs w:val="24"/>
              </w:rPr>
              <w:fldChar w:fldCharType="separate"/>
            </w:r>
            <w:r>
              <w:rPr>
                <w:b/>
                <w:bCs/>
                <w:noProof/>
                <w:sz w:val="20"/>
              </w:rPr>
              <w:t>1</w:t>
            </w:r>
            <w:r w:rsidRPr="005072EB">
              <w:rPr>
                <w:b/>
                <w:bCs/>
                <w:szCs w:val="24"/>
              </w:rPr>
              <w:fldChar w:fldCharType="end"/>
            </w:r>
            <w:r w:rsidRPr="005072EB">
              <w:rPr>
                <w:sz w:val="20"/>
              </w:rPr>
              <w:t xml:space="preserve"> of </w:t>
            </w:r>
            <w:r w:rsidRPr="005072EB">
              <w:rPr>
                <w:b/>
                <w:bCs/>
                <w:szCs w:val="24"/>
              </w:rPr>
              <w:fldChar w:fldCharType="begin"/>
            </w:r>
            <w:r w:rsidRPr="005072EB">
              <w:rPr>
                <w:b/>
                <w:bCs/>
                <w:sz w:val="20"/>
              </w:rPr>
              <w:instrText xml:space="preserve"> NUMPAGES  </w:instrText>
            </w:r>
            <w:r w:rsidRPr="005072EB">
              <w:rPr>
                <w:b/>
                <w:bCs/>
                <w:szCs w:val="24"/>
              </w:rPr>
              <w:fldChar w:fldCharType="separate"/>
            </w:r>
            <w:r>
              <w:rPr>
                <w:b/>
                <w:bCs/>
                <w:noProof/>
                <w:sz w:val="20"/>
              </w:rPr>
              <w:t>10</w:t>
            </w:r>
            <w:r w:rsidRPr="005072EB">
              <w:rPr>
                <w:b/>
                <w:bCs/>
                <w:szCs w:val="24"/>
              </w:rPr>
              <w:fldChar w:fldCharType="end"/>
            </w:r>
          </w:p>
        </w:sdtContent>
      </w:sdt>
    </w:sdtContent>
  </w:sdt>
  <w:p w14:paraId="3532047D" w14:textId="77777777" w:rsidR="007A6AA7" w:rsidRDefault="007A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E4D9" w14:textId="77777777" w:rsidR="00F6139A" w:rsidRDefault="00F6139A" w:rsidP="00AE2E3B">
      <w:r>
        <w:separator/>
      </w:r>
    </w:p>
  </w:footnote>
  <w:footnote w:type="continuationSeparator" w:id="0">
    <w:p w14:paraId="6B1DD2C4" w14:textId="77777777" w:rsidR="00F6139A" w:rsidRDefault="00F6139A" w:rsidP="00AE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B63" w14:textId="5CAE6D43" w:rsidR="007A6AA7" w:rsidRPr="002C1612" w:rsidRDefault="007A6AA7" w:rsidP="00AE2E3B">
    <w:pPr>
      <w:pStyle w:val="Header"/>
      <w:rPr>
        <w:color w:val="808080" w:themeColor="background1" w:themeShade="80"/>
      </w:rPr>
    </w:pPr>
    <w:r w:rsidRPr="002C1612">
      <w:rPr>
        <w:color w:val="808080" w:themeColor="background1" w:themeShade="80"/>
      </w:rPr>
      <w:t>ECON</w:t>
    </w:r>
    <w:r>
      <w:rPr>
        <w:color w:val="808080" w:themeColor="background1" w:themeShade="80"/>
      </w:rPr>
      <w:t xml:space="preserve"> </w:t>
    </w:r>
    <w:r w:rsidR="00800DD0">
      <w:rPr>
        <w:color w:val="808080" w:themeColor="background1" w:themeShade="80"/>
      </w:rPr>
      <w:t>101</w:t>
    </w:r>
    <w:r>
      <w:rPr>
        <w:color w:val="808080" w:themeColor="background1" w:themeShade="80"/>
      </w:rPr>
      <w:t xml:space="preserve">:001 </w:t>
    </w:r>
    <w:r w:rsidR="00800DD0">
      <w:rPr>
        <w:color w:val="808080" w:themeColor="background1" w:themeShade="80"/>
      </w:rPr>
      <w:t>Economics of Social Issues</w:t>
    </w:r>
    <w:r w:rsidRPr="002C1612">
      <w:rPr>
        <w:color w:val="808080" w:themeColor="background1" w:themeShade="80"/>
      </w:rPr>
      <w:t xml:space="preserve">.  </w:t>
    </w:r>
    <w:r w:rsidR="00D426E5">
      <w:rPr>
        <w:color w:val="808080" w:themeColor="background1" w:themeShade="80"/>
      </w:rPr>
      <w:t>Kenese Io</w:t>
    </w:r>
    <w:r>
      <w:rPr>
        <w:color w:val="808080" w:themeColor="background1" w:themeShade="80"/>
      </w:rPr>
      <w:t xml:space="preserve">. </w:t>
    </w:r>
    <w:r w:rsidR="00D426E5">
      <w:rPr>
        <w:color w:val="808080" w:themeColor="background1" w:themeShade="80"/>
      </w:rPr>
      <w:t>Spring</w:t>
    </w:r>
    <w:r w:rsidR="00800DD0">
      <w:rPr>
        <w:color w:val="808080" w:themeColor="background1" w:themeShade="80"/>
      </w:rPr>
      <w:t>, 202</w:t>
    </w:r>
    <w:r w:rsidR="00D426E5">
      <w:rPr>
        <w:color w:val="808080" w:themeColor="background1" w:themeShade="80"/>
      </w:rPr>
      <w:t>2</w:t>
    </w:r>
    <w:r>
      <w:rPr>
        <w:color w:val="808080" w:themeColor="background1" w:themeShade="8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E424" w14:textId="66F7391F" w:rsidR="007A6AA7" w:rsidRDefault="007A6AA7">
    <w:pPr>
      <w:pStyle w:val="Header"/>
    </w:pPr>
    <w:r>
      <w:rPr>
        <w:rFonts w:ascii="Arial" w:eastAsia="Calibri" w:hAnsi="Arial" w:cs="Arial"/>
        <w:b/>
        <w:noProof/>
        <w:color w:val="424456" w:themeColor="text2"/>
        <w:sz w:val="17"/>
        <w:szCs w:val="17"/>
      </w:rPr>
      <w:drawing>
        <wp:anchor distT="0" distB="0" distL="114300" distR="114300" simplePos="0" relativeHeight="251659264" behindDoc="1" locked="0" layoutInCell="1" allowOverlap="1" wp14:anchorId="35574B54" wp14:editId="5B06B04D">
          <wp:simplePos x="0" y="0"/>
          <wp:positionH relativeFrom="column">
            <wp:posOffset>0</wp:posOffset>
          </wp:positionH>
          <wp:positionV relativeFrom="paragraph">
            <wp:posOffset>2127</wp:posOffset>
          </wp:positionV>
          <wp:extent cx="1394992" cy="446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184" cy="460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6C0"/>
    <w:multiLevelType w:val="multilevel"/>
    <w:tmpl w:val="428097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F5DAA"/>
    <w:multiLevelType w:val="hybridMultilevel"/>
    <w:tmpl w:val="DF685D68"/>
    <w:lvl w:ilvl="0" w:tplc="5CACA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2C5"/>
    <w:multiLevelType w:val="hybridMultilevel"/>
    <w:tmpl w:val="80E2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754"/>
    <w:multiLevelType w:val="multilevel"/>
    <w:tmpl w:val="F2C8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F57BE"/>
    <w:multiLevelType w:val="hybridMultilevel"/>
    <w:tmpl w:val="0E3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3906"/>
    <w:multiLevelType w:val="hybridMultilevel"/>
    <w:tmpl w:val="93F255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7CCF"/>
    <w:multiLevelType w:val="hybridMultilevel"/>
    <w:tmpl w:val="C52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31CE7"/>
    <w:multiLevelType w:val="hybridMultilevel"/>
    <w:tmpl w:val="04AC9AC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57C4"/>
    <w:multiLevelType w:val="hybridMultilevel"/>
    <w:tmpl w:val="893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34613"/>
    <w:multiLevelType w:val="hybridMultilevel"/>
    <w:tmpl w:val="0EFA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6E97"/>
    <w:multiLevelType w:val="hybridMultilevel"/>
    <w:tmpl w:val="AA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A0CD2"/>
    <w:multiLevelType w:val="multilevel"/>
    <w:tmpl w:val="F03012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25132"/>
    <w:multiLevelType w:val="hybridMultilevel"/>
    <w:tmpl w:val="4DB6CC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42534"/>
    <w:multiLevelType w:val="hybridMultilevel"/>
    <w:tmpl w:val="0EE4C3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E71AA"/>
    <w:multiLevelType w:val="hybridMultilevel"/>
    <w:tmpl w:val="CD6095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B74C2"/>
    <w:multiLevelType w:val="hybridMultilevel"/>
    <w:tmpl w:val="FEA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7380C"/>
    <w:multiLevelType w:val="hybridMultilevel"/>
    <w:tmpl w:val="0DB2CCA8"/>
    <w:lvl w:ilvl="0" w:tplc="494423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E1F05"/>
    <w:multiLevelType w:val="hybridMultilevel"/>
    <w:tmpl w:val="4F4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70DCB"/>
    <w:multiLevelType w:val="multilevel"/>
    <w:tmpl w:val="A7E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2"/>
  </w:num>
  <w:num w:numId="5">
    <w:abstractNumId w:val="6"/>
  </w:num>
  <w:num w:numId="6">
    <w:abstractNumId w:val="17"/>
  </w:num>
  <w:num w:numId="7">
    <w:abstractNumId w:val="10"/>
  </w:num>
  <w:num w:numId="8">
    <w:abstractNumId w:val="1"/>
  </w:num>
  <w:num w:numId="9">
    <w:abstractNumId w:val="16"/>
  </w:num>
  <w:num w:numId="10">
    <w:abstractNumId w:val="18"/>
  </w:num>
  <w:num w:numId="11">
    <w:abstractNumId w:val="11"/>
  </w:num>
  <w:num w:numId="12">
    <w:abstractNumId w:val="0"/>
  </w:num>
  <w:num w:numId="13">
    <w:abstractNumId w:val="14"/>
  </w:num>
  <w:num w:numId="14">
    <w:abstractNumId w:val="13"/>
  </w:num>
  <w:num w:numId="15">
    <w:abstractNumId w:val="5"/>
  </w:num>
  <w:num w:numId="16">
    <w:abstractNumId w:val="12"/>
  </w:num>
  <w:num w:numId="17">
    <w:abstractNumId w:val="7"/>
  </w:num>
  <w:num w:numId="18">
    <w:abstractNumId w:val="3"/>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07"/>
    <w:rsid w:val="00001157"/>
    <w:rsid w:val="00001A52"/>
    <w:rsid w:val="00002B79"/>
    <w:rsid w:val="00006128"/>
    <w:rsid w:val="00012CDD"/>
    <w:rsid w:val="000149A3"/>
    <w:rsid w:val="00016194"/>
    <w:rsid w:val="000169A1"/>
    <w:rsid w:val="00022CB5"/>
    <w:rsid w:val="00024C32"/>
    <w:rsid w:val="000272E3"/>
    <w:rsid w:val="000355A0"/>
    <w:rsid w:val="00036A06"/>
    <w:rsid w:val="000407F3"/>
    <w:rsid w:val="00044650"/>
    <w:rsid w:val="0005359F"/>
    <w:rsid w:val="000620EA"/>
    <w:rsid w:val="000627C9"/>
    <w:rsid w:val="000669B9"/>
    <w:rsid w:val="00075125"/>
    <w:rsid w:val="00077130"/>
    <w:rsid w:val="0008057F"/>
    <w:rsid w:val="00085FA3"/>
    <w:rsid w:val="00090606"/>
    <w:rsid w:val="00094CBA"/>
    <w:rsid w:val="000A594F"/>
    <w:rsid w:val="000A60FF"/>
    <w:rsid w:val="000A6602"/>
    <w:rsid w:val="000A7D20"/>
    <w:rsid w:val="000B3187"/>
    <w:rsid w:val="000B631D"/>
    <w:rsid w:val="000C1AAF"/>
    <w:rsid w:val="000C6772"/>
    <w:rsid w:val="000D2563"/>
    <w:rsid w:val="000D650A"/>
    <w:rsid w:val="000E234B"/>
    <w:rsid w:val="000E5925"/>
    <w:rsid w:val="000E6E5D"/>
    <w:rsid w:val="00106E9C"/>
    <w:rsid w:val="00120B56"/>
    <w:rsid w:val="00121E10"/>
    <w:rsid w:val="001256A1"/>
    <w:rsid w:val="0013437B"/>
    <w:rsid w:val="00137435"/>
    <w:rsid w:val="00141155"/>
    <w:rsid w:val="001560E1"/>
    <w:rsid w:val="0016513A"/>
    <w:rsid w:val="00166D88"/>
    <w:rsid w:val="00171C95"/>
    <w:rsid w:val="00172421"/>
    <w:rsid w:val="00184E42"/>
    <w:rsid w:val="00191246"/>
    <w:rsid w:val="00192BB7"/>
    <w:rsid w:val="001A42B7"/>
    <w:rsid w:val="001C6072"/>
    <w:rsid w:val="001D4410"/>
    <w:rsid w:val="001F0FD5"/>
    <w:rsid w:val="001F161D"/>
    <w:rsid w:val="001F2CE7"/>
    <w:rsid w:val="00222E5B"/>
    <w:rsid w:val="00225151"/>
    <w:rsid w:val="00226224"/>
    <w:rsid w:val="00226D76"/>
    <w:rsid w:val="002402F0"/>
    <w:rsid w:val="002403C4"/>
    <w:rsid w:val="00242661"/>
    <w:rsid w:val="00250198"/>
    <w:rsid w:val="00256503"/>
    <w:rsid w:val="00257BAE"/>
    <w:rsid w:val="002608CC"/>
    <w:rsid w:val="00262045"/>
    <w:rsid w:val="00263F8B"/>
    <w:rsid w:val="002708D6"/>
    <w:rsid w:val="002716D3"/>
    <w:rsid w:val="00277701"/>
    <w:rsid w:val="00282250"/>
    <w:rsid w:val="00282924"/>
    <w:rsid w:val="002B6F5E"/>
    <w:rsid w:val="002C1612"/>
    <w:rsid w:val="002C6C4A"/>
    <w:rsid w:val="002D2B19"/>
    <w:rsid w:val="002D5152"/>
    <w:rsid w:val="00301D5A"/>
    <w:rsid w:val="003034EE"/>
    <w:rsid w:val="00304305"/>
    <w:rsid w:val="00307CF2"/>
    <w:rsid w:val="00307FF5"/>
    <w:rsid w:val="0031602A"/>
    <w:rsid w:val="0031763D"/>
    <w:rsid w:val="00320ADB"/>
    <w:rsid w:val="003254DB"/>
    <w:rsid w:val="00330921"/>
    <w:rsid w:val="00340F12"/>
    <w:rsid w:val="00341FFC"/>
    <w:rsid w:val="00360327"/>
    <w:rsid w:val="00363110"/>
    <w:rsid w:val="0038110B"/>
    <w:rsid w:val="00393171"/>
    <w:rsid w:val="00395CDA"/>
    <w:rsid w:val="003A4BD9"/>
    <w:rsid w:val="003A6E19"/>
    <w:rsid w:val="003B046B"/>
    <w:rsid w:val="003B0A1B"/>
    <w:rsid w:val="003B2FE3"/>
    <w:rsid w:val="003B7484"/>
    <w:rsid w:val="003C62FB"/>
    <w:rsid w:val="003C7F85"/>
    <w:rsid w:val="003D455B"/>
    <w:rsid w:val="003D4808"/>
    <w:rsid w:val="003E57C8"/>
    <w:rsid w:val="003E5A79"/>
    <w:rsid w:val="003E76A0"/>
    <w:rsid w:val="003F6BD7"/>
    <w:rsid w:val="00411A71"/>
    <w:rsid w:val="00424F8D"/>
    <w:rsid w:val="00452767"/>
    <w:rsid w:val="00454FE1"/>
    <w:rsid w:val="004551F2"/>
    <w:rsid w:val="00456CD5"/>
    <w:rsid w:val="00460C68"/>
    <w:rsid w:val="00466E6C"/>
    <w:rsid w:val="0047131E"/>
    <w:rsid w:val="004729E0"/>
    <w:rsid w:val="00492D45"/>
    <w:rsid w:val="004A0BD0"/>
    <w:rsid w:val="004A0E9B"/>
    <w:rsid w:val="004B629A"/>
    <w:rsid w:val="004C493D"/>
    <w:rsid w:val="004C4D70"/>
    <w:rsid w:val="004C4F5F"/>
    <w:rsid w:val="004C4FA0"/>
    <w:rsid w:val="004E24F5"/>
    <w:rsid w:val="004E433E"/>
    <w:rsid w:val="004F0695"/>
    <w:rsid w:val="004F5EFD"/>
    <w:rsid w:val="004F6253"/>
    <w:rsid w:val="005052F7"/>
    <w:rsid w:val="005059FA"/>
    <w:rsid w:val="005072EB"/>
    <w:rsid w:val="00520B06"/>
    <w:rsid w:val="00522339"/>
    <w:rsid w:val="00525C2D"/>
    <w:rsid w:val="00530B76"/>
    <w:rsid w:val="00532966"/>
    <w:rsid w:val="00534C7B"/>
    <w:rsid w:val="00535A4F"/>
    <w:rsid w:val="00544285"/>
    <w:rsid w:val="00550813"/>
    <w:rsid w:val="00551FC1"/>
    <w:rsid w:val="005640A8"/>
    <w:rsid w:val="00581969"/>
    <w:rsid w:val="005863FD"/>
    <w:rsid w:val="00586D92"/>
    <w:rsid w:val="0059245F"/>
    <w:rsid w:val="00594291"/>
    <w:rsid w:val="00594728"/>
    <w:rsid w:val="00594EA4"/>
    <w:rsid w:val="005969E6"/>
    <w:rsid w:val="00597B87"/>
    <w:rsid w:val="005A037B"/>
    <w:rsid w:val="005A296A"/>
    <w:rsid w:val="005A3156"/>
    <w:rsid w:val="005A6BA0"/>
    <w:rsid w:val="005B0769"/>
    <w:rsid w:val="005B3051"/>
    <w:rsid w:val="005B34BA"/>
    <w:rsid w:val="005B47B5"/>
    <w:rsid w:val="005B48AF"/>
    <w:rsid w:val="005B78A5"/>
    <w:rsid w:val="005C0286"/>
    <w:rsid w:val="005C2528"/>
    <w:rsid w:val="005C2A9C"/>
    <w:rsid w:val="005C39D9"/>
    <w:rsid w:val="005E00E4"/>
    <w:rsid w:val="005E6CCE"/>
    <w:rsid w:val="005F0E04"/>
    <w:rsid w:val="005F59BA"/>
    <w:rsid w:val="00600977"/>
    <w:rsid w:val="006124EC"/>
    <w:rsid w:val="00615AA9"/>
    <w:rsid w:val="00624363"/>
    <w:rsid w:val="00626F40"/>
    <w:rsid w:val="00634589"/>
    <w:rsid w:val="0064139B"/>
    <w:rsid w:val="00651739"/>
    <w:rsid w:val="0065478A"/>
    <w:rsid w:val="00663701"/>
    <w:rsid w:val="006637DA"/>
    <w:rsid w:val="00665B51"/>
    <w:rsid w:val="00665E43"/>
    <w:rsid w:val="006664D9"/>
    <w:rsid w:val="0067403E"/>
    <w:rsid w:val="00674404"/>
    <w:rsid w:val="00675639"/>
    <w:rsid w:val="00676D7D"/>
    <w:rsid w:val="0068252F"/>
    <w:rsid w:val="00684E1C"/>
    <w:rsid w:val="00686341"/>
    <w:rsid w:val="0069713D"/>
    <w:rsid w:val="006A6EB2"/>
    <w:rsid w:val="006B048E"/>
    <w:rsid w:val="006B40EC"/>
    <w:rsid w:val="006B49A6"/>
    <w:rsid w:val="006B6F86"/>
    <w:rsid w:val="006C7D58"/>
    <w:rsid w:val="006D4F1D"/>
    <w:rsid w:val="006D6234"/>
    <w:rsid w:val="006E2F8F"/>
    <w:rsid w:val="006E4320"/>
    <w:rsid w:val="006E4FC6"/>
    <w:rsid w:val="006F3707"/>
    <w:rsid w:val="006F7C72"/>
    <w:rsid w:val="00716E9D"/>
    <w:rsid w:val="00723489"/>
    <w:rsid w:val="00725942"/>
    <w:rsid w:val="0073135A"/>
    <w:rsid w:val="00731EE2"/>
    <w:rsid w:val="0073564A"/>
    <w:rsid w:val="00736E86"/>
    <w:rsid w:val="00751A76"/>
    <w:rsid w:val="00752AB0"/>
    <w:rsid w:val="00752EC6"/>
    <w:rsid w:val="00753A1E"/>
    <w:rsid w:val="00761D84"/>
    <w:rsid w:val="00761DE0"/>
    <w:rsid w:val="00766C0A"/>
    <w:rsid w:val="00770A88"/>
    <w:rsid w:val="00783CEE"/>
    <w:rsid w:val="00791169"/>
    <w:rsid w:val="007A11D4"/>
    <w:rsid w:val="007A6AA7"/>
    <w:rsid w:val="007A7EA5"/>
    <w:rsid w:val="007B24C2"/>
    <w:rsid w:val="007B3527"/>
    <w:rsid w:val="007C6FA5"/>
    <w:rsid w:val="007D03FF"/>
    <w:rsid w:val="007D0B1F"/>
    <w:rsid w:val="007D2F9E"/>
    <w:rsid w:val="007D6CA3"/>
    <w:rsid w:val="007E10FF"/>
    <w:rsid w:val="00800DD0"/>
    <w:rsid w:val="00801588"/>
    <w:rsid w:val="00802374"/>
    <w:rsid w:val="00802385"/>
    <w:rsid w:val="00804A99"/>
    <w:rsid w:val="00804DAB"/>
    <w:rsid w:val="00813425"/>
    <w:rsid w:val="00816D11"/>
    <w:rsid w:val="00820267"/>
    <w:rsid w:val="00821617"/>
    <w:rsid w:val="00822B6C"/>
    <w:rsid w:val="008238B0"/>
    <w:rsid w:val="00823D17"/>
    <w:rsid w:val="00827B2C"/>
    <w:rsid w:val="00831966"/>
    <w:rsid w:val="00833DE4"/>
    <w:rsid w:val="0083408B"/>
    <w:rsid w:val="008417D8"/>
    <w:rsid w:val="00845A03"/>
    <w:rsid w:val="008469C4"/>
    <w:rsid w:val="00851900"/>
    <w:rsid w:val="008567FC"/>
    <w:rsid w:val="00857AF6"/>
    <w:rsid w:val="008665BB"/>
    <w:rsid w:val="00875621"/>
    <w:rsid w:val="00880DA8"/>
    <w:rsid w:val="00881357"/>
    <w:rsid w:val="0088237D"/>
    <w:rsid w:val="00886FAF"/>
    <w:rsid w:val="008926D8"/>
    <w:rsid w:val="00894F2D"/>
    <w:rsid w:val="008970B0"/>
    <w:rsid w:val="008A3A61"/>
    <w:rsid w:val="008B18CB"/>
    <w:rsid w:val="008B3E38"/>
    <w:rsid w:val="008D3988"/>
    <w:rsid w:val="008D5F7A"/>
    <w:rsid w:val="008D7292"/>
    <w:rsid w:val="008E1E39"/>
    <w:rsid w:val="008E253F"/>
    <w:rsid w:val="008E3105"/>
    <w:rsid w:val="008E5FDC"/>
    <w:rsid w:val="008E77F1"/>
    <w:rsid w:val="008F0030"/>
    <w:rsid w:val="008F0AFB"/>
    <w:rsid w:val="008F1A11"/>
    <w:rsid w:val="008F2B54"/>
    <w:rsid w:val="008F3337"/>
    <w:rsid w:val="008F7D67"/>
    <w:rsid w:val="009075B9"/>
    <w:rsid w:val="00911696"/>
    <w:rsid w:val="0091586E"/>
    <w:rsid w:val="00915B5C"/>
    <w:rsid w:val="0091621E"/>
    <w:rsid w:val="009207CB"/>
    <w:rsid w:val="0092092F"/>
    <w:rsid w:val="0092299C"/>
    <w:rsid w:val="00922FB3"/>
    <w:rsid w:val="009237A6"/>
    <w:rsid w:val="00931DC3"/>
    <w:rsid w:val="009359D2"/>
    <w:rsid w:val="00940278"/>
    <w:rsid w:val="00961478"/>
    <w:rsid w:val="00961D57"/>
    <w:rsid w:val="0098165A"/>
    <w:rsid w:val="009838CC"/>
    <w:rsid w:val="00987381"/>
    <w:rsid w:val="00990A26"/>
    <w:rsid w:val="009A33AF"/>
    <w:rsid w:val="009A4106"/>
    <w:rsid w:val="009B083A"/>
    <w:rsid w:val="009C4319"/>
    <w:rsid w:val="009C4344"/>
    <w:rsid w:val="009D158E"/>
    <w:rsid w:val="009D350A"/>
    <w:rsid w:val="009E17B4"/>
    <w:rsid w:val="009F18C5"/>
    <w:rsid w:val="009F340E"/>
    <w:rsid w:val="009F77BF"/>
    <w:rsid w:val="00A034AD"/>
    <w:rsid w:val="00A07BE3"/>
    <w:rsid w:val="00A13837"/>
    <w:rsid w:val="00A17650"/>
    <w:rsid w:val="00A2190A"/>
    <w:rsid w:val="00A25BE0"/>
    <w:rsid w:val="00A44B3C"/>
    <w:rsid w:val="00A45953"/>
    <w:rsid w:val="00A4598F"/>
    <w:rsid w:val="00A529D7"/>
    <w:rsid w:val="00A557C4"/>
    <w:rsid w:val="00A57191"/>
    <w:rsid w:val="00A655CE"/>
    <w:rsid w:val="00A740A7"/>
    <w:rsid w:val="00A860B8"/>
    <w:rsid w:val="00AA2665"/>
    <w:rsid w:val="00AA35A3"/>
    <w:rsid w:val="00AC291E"/>
    <w:rsid w:val="00AD3E40"/>
    <w:rsid w:val="00AD476E"/>
    <w:rsid w:val="00AE12F0"/>
    <w:rsid w:val="00AE2E3B"/>
    <w:rsid w:val="00AF7241"/>
    <w:rsid w:val="00AF7D92"/>
    <w:rsid w:val="00B05141"/>
    <w:rsid w:val="00B109C8"/>
    <w:rsid w:val="00B15D4E"/>
    <w:rsid w:val="00B303AE"/>
    <w:rsid w:val="00B3320B"/>
    <w:rsid w:val="00B37684"/>
    <w:rsid w:val="00B4000C"/>
    <w:rsid w:val="00B50B09"/>
    <w:rsid w:val="00B522D9"/>
    <w:rsid w:val="00B526A3"/>
    <w:rsid w:val="00B53095"/>
    <w:rsid w:val="00B5760F"/>
    <w:rsid w:val="00B604C5"/>
    <w:rsid w:val="00B62D66"/>
    <w:rsid w:val="00B63D49"/>
    <w:rsid w:val="00B66464"/>
    <w:rsid w:val="00B725F1"/>
    <w:rsid w:val="00B73033"/>
    <w:rsid w:val="00B7532A"/>
    <w:rsid w:val="00B90068"/>
    <w:rsid w:val="00BA11FD"/>
    <w:rsid w:val="00BA17E5"/>
    <w:rsid w:val="00BA2C67"/>
    <w:rsid w:val="00BA50D1"/>
    <w:rsid w:val="00BB0E66"/>
    <w:rsid w:val="00BB7B37"/>
    <w:rsid w:val="00BC40D4"/>
    <w:rsid w:val="00BC6920"/>
    <w:rsid w:val="00BD02B2"/>
    <w:rsid w:val="00BD354A"/>
    <w:rsid w:val="00BE437A"/>
    <w:rsid w:val="00BF441C"/>
    <w:rsid w:val="00C070FC"/>
    <w:rsid w:val="00C120CD"/>
    <w:rsid w:val="00C26D67"/>
    <w:rsid w:val="00C31350"/>
    <w:rsid w:val="00C32355"/>
    <w:rsid w:val="00C36959"/>
    <w:rsid w:val="00C36FC3"/>
    <w:rsid w:val="00C373D1"/>
    <w:rsid w:val="00C435F3"/>
    <w:rsid w:val="00C67411"/>
    <w:rsid w:val="00C7006B"/>
    <w:rsid w:val="00C73943"/>
    <w:rsid w:val="00C93F74"/>
    <w:rsid w:val="00C97C19"/>
    <w:rsid w:val="00CA0AE1"/>
    <w:rsid w:val="00CA0BF7"/>
    <w:rsid w:val="00CA14A7"/>
    <w:rsid w:val="00CA47B6"/>
    <w:rsid w:val="00CB0EB1"/>
    <w:rsid w:val="00CC4D06"/>
    <w:rsid w:val="00CD1E15"/>
    <w:rsid w:val="00CD1F0D"/>
    <w:rsid w:val="00CD43B6"/>
    <w:rsid w:val="00CD4740"/>
    <w:rsid w:val="00CD7988"/>
    <w:rsid w:val="00CF18AF"/>
    <w:rsid w:val="00CF4405"/>
    <w:rsid w:val="00D01CDC"/>
    <w:rsid w:val="00D032A6"/>
    <w:rsid w:val="00D17E12"/>
    <w:rsid w:val="00D2711A"/>
    <w:rsid w:val="00D426E5"/>
    <w:rsid w:val="00D66DF7"/>
    <w:rsid w:val="00D73849"/>
    <w:rsid w:val="00D80033"/>
    <w:rsid w:val="00D834C9"/>
    <w:rsid w:val="00D874F2"/>
    <w:rsid w:val="00D94287"/>
    <w:rsid w:val="00DA584D"/>
    <w:rsid w:val="00DB0240"/>
    <w:rsid w:val="00DD13D7"/>
    <w:rsid w:val="00DD436C"/>
    <w:rsid w:val="00DE7802"/>
    <w:rsid w:val="00DF11EA"/>
    <w:rsid w:val="00DF19E3"/>
    <w:rsid w:val="00E050DE"/>
    <w:rsid w:val="00E05BDD"/>
    <w:rsid w:val="00E0647A"/>
    <w:rsid w:val="00E25F5E"/>
    <w:rsid w:val="00E26D59"/>
    <w:rsid w:val="00E528C0"/>
    <w:rsid w:val="00E53196"/>
    <w:rsid w:val="00E53EBC"/>
    <w:rsid w:val="00E54F03"/>
    <w:rsid w:val="00E57895"/>
    <w:rsid w:val="00E66AB5"/>
    <w:rsid w:val="00E731AC"/>
    <w:rsid w:val="00E844D2"/>
    <w:rsid w:val="00E8683F"/>
    <w:rsid w:val="00E87D93"/>
    <w:rsid w:val="00E95A2C"/>
    <w:rsid w:val="00EA4C50"/>
    <w:rsid w:val="00EA4F9E"/>
    <w:rsid w:val="00EA54A8"/>
    <w:rsid w:val="00EA656A"/>
    <w:rsid w:val="00EB00AE"/>
    <w:rsid w:val="00EB580C"/>
    <w:rsid w:val="00EC07FE"/>
    <w:rsid w:val="00EC1739"/>
    <w:rsid w:val="00EC628C"/>
    <w:rsid w:val="00ED7C9D"/>
    <w:rsid w:val="00EE085D"/>
    <w:rsid w:val="00EE29C9"/>
    <w:rsid w:val="00EE5A19"/>
    <w:rsid w:val="00EE5C0A"/>
    <w:rsid w:val="00EE73EA"/>
    <w:rsid w:val="00EE79FB"/>
    <w:rsid w:val="00EF3A0F"/>
    <w:rsid w:val="00F107E1"/>
    <w:rsid w:val="00F2090F"/>
    <w:rsid w:val="00F22294"/>
    <w:rsid w:val="00F34115"/>
    <w:rsid w:val="00F4016C"/>
    <w:rsid w:val="00F46C6D"/>
    <w:rsid w:val="00F558FA"/>
    <w:rsid w:val="00F6139A"/>
    <w:rsid w:val="00F6224B"/>
    <w:rsid w:val="00F71523"/>
    <w:rsid w:val="00F76079"/>
    <w:rsid w:val="00F81E74"/>
    <w:rsid w:val="00F84D85"/>
    <w:rsid w:val="00F8737B"/>
    <w:rsid w:val="00F95D21"/>
    <w:rsid w:val="00F95E6B"/>
    <w:rsid w:val="00F96784"/>
    <w:rsid w:val="00FB3533"/>
    <w:rsid w:val="00FB4071"/>
    <w:rsid w:val="00FB4447"/>
    <w:rsid w:val="00FB4E14"/>
    <w:rsid w:val="00FB68ED"/>
    <w:rsid w:val="00FC66CC"/>
    <w:rsid w:val="00FD08E6"/>
    <w:rsid w:val="00FF00DF"/>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4545E"/>
  <w15:docId w15:val="{A274100C-5AD0-4B88-8126-8394988E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2355"/>
    <w:rPr>
      <w:sz w:val="22"/>
      <w:szCs w:val="22"/>
    </w:rPr>
  </w:style>
  <w:style w:type="paragraph" w:styleId="Heading1">
    <w:name w:val="heading 1"/>
    <w:basedOn w:val="Normal"/>
    <w:next w:val="Normal"/>
    <w:link w:val="Heading1Char"/>
    <w:uiPriority w:val="9"/>
    <w:qFormat/>
    <w:rsid w:val="00AE2E3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2E3B"/>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2E3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2E3B"/>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AE2E3B"/>
    <w:pPr>
      <w:spacing w:before="200" w:after="0"/>
      <w:jc w:val="left"/>
      <w:outlineLvl w:val="4"/>
    </w:pPr>
    <w:rPr>
      <w:smallCaps/>
      <w:color w:val="325F64" w:themeColor="accent2" w:themeShade="BF"/>
      <w:spacing w:val="10"/>
      <w:szCs w:val="26"/>
    </w:rPr>
  </w:style>
  <w:style w:type="paragraph" w:styleId="Heading6">
    <w:name w:val="heading 6"/>
    <w:basedOn w:val="Normal"/>
    <w:next w:val="Normal"/>
    <w:link w:val="Heading6Char"/>
    <w:uiPriority w:val="9"/>
    <w:semiHidden/>
    <w:unhideWhenUsed/>
    <w:qFormat/>
    <w:rsid w:val="00AE2E3B"/>
    <w:pPr>
      <w:spacing w:after="0"/>
      <w:jc w:val="left"/>
      <w:outlineLvl w:val="5"/>
    </w:pPr>
    <w:rPr>
      <w:smallCaps/>
      <w:color w:val="438086" w:themeColor="accent2"/>
      <w:spacing w:val="5"/>
    </w:rPr>
  </w:style>
  <w:style w:type="paragraph" w:styleId="Heading7">
    <w:name w:val="heading 7"/>
    <w:basedOn w:val="Normal"/>
    <w:next w:val="Normal"/>
    <w:link w:val="Heading7Char"/>
    <w:uiPriority w:val="9"/>
    <w:semiHidden/>
    <w:unhideWhenUsed/>
    <w:qFormat/>
    <w:rsid w:val="00AE2E3B"/>
    <w:pPr>
      <w:spacing w:after="0"/>
      <w:jc w:val="left"/>
      <w:outlineLvl w:val="6"/>
    </w:pPr>
    <w:rPr>
      <w:b/>
      <w:smallCaps/>
      <w:color w:val="438086" w:themeColor="accent2"/>
      <w:spacing w:val="10"/>
    </w:rPr>
  </w:style>
  <w:style w:type="paragraph" w:styleId="Heading8">
    <w:name w:val="heading 8"/>
    <w:basedOn w:val="Normal"/>
    <w:next w:val="Normal"/>
    <w:link w:val="Heading8Char"/>
    <w:uiPriority w:val="9"/>
    <w:semiHidden/>
    <w:unhideWhenUsed/>
    <w:qFormat/>
    <w:rsid w:val="00AE2E3B"/>
    <w:pPr>
      <w:spacing w:after="0"/>
      <w:jc w:val="left"/>
      <w:outlineLvl w:val="7"/>
    </w:pPr>
    <w:rPr>
      <w:b/>
      <w:i/>
      <w:smallCaps/>
      <w:color w:val="325F64" w:themeColor="accent2" w:themeShade="BF"/>
    </w:rPr>
  </w:style>
  <w:style w:type="paragraph" w:styleId="Heading9">
    <w:name w:val="heading 9"/>
    <w:basedOn w:val="Normal"/>
    <w:next w:val="Normal"/>
    <w:link w:val="Heading9Char"/>
    <w:uiPriority w:val="9"/>
    <w:semiHidden/>
    <w:unhideWhenUsed/>
    <w:qFormat/>
    <w:rsid w:val="00AE2E3B"/>
    <w:pPr>
      <w:spacing w:after="0"/>
      <w:jc w:val="left"/>
      <w:outlineLvl w:val="8"/>
    </w:pPr>
    <w:rPr>
      <w:b/>
      <w:i/>
      <w:smallCaps/>
      <w:color w:val="213F42"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707"/>
    <w:rPr>
      <w:color w:val="67AFBD" w:themeColor="hyperlink"/>
      <w:u w:val="single"/>
    </w:rPr>
  </w:style>
  <w:style w:type="paragraph" w:styleId="NoSpacing">
    <w:name w:val="No Spacing"/>
    <w:basedOn w:val="Normal"/>
    <w:link w:val="NoSpacingChar"/>
    <w:autoRedefine/>
    <w:uiPriority w:val="1"/>
    <w:qFormat/>
    <w:rsid w:val="00DB0240"/>
    <w:pPr>
      <w:spacing w:after="0" w:line="240" w:lineRule="auto"/>
      <w:jc w:val="left"/>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AE2E3B"/>
    <w:rPr>
      <w:smallCaps/>
      <w:spacing w:val="5"/>
      <w:sz w:val="32"/>
      <w:szCs w:val="32"/>
    </w:rPr>
  </w:style>
  <w:style w:type="character" w:customStyle="1" w:styleId="Heading2Char">
    <w:name w:val="Heading 2 Char"/>
    <w:basedOn w:val="DefaultParagraphFont"/>
    <w:link w:val="Heading2"/>
    <w:uiPriority w:val="9"/>
    <w:rsid w:val="00AE2E3B"/>
    <w:rPr>
      <w:smallCaps/>
      <w:spacing w:val="5"/>
      <w:sz w:val="28"/>
      <w:szCs w:val="28"/>
    </w:rPr>
  </w:style>
  <w:style w:type="character" w:customStyle="1" w:styleId="Heading3Char">
    <w:name w:val="Heading 3 Char"/>
    <w:basedOn w:val="DefaultParagraphFont"/>
    <w:link w:val="Heading3"/>
    <w:uiPriority w:val="9"/>
    <w:rsid w:val="00AE2E3B"/>
    <w:rPr>
      <w:smallCaps/>
      <w:spacing w:val="5"/>
      <w:sz w:val="24"/>
      <w:szCs w:val="24"/>
    </w:rPr>
  </w:style>
  <w:style w:type="character" w:customStyle="1" w:styleId="Heading4Char">
    <w:name w:val="Heading 4 Char"/>
    <w:basedOn w:val="DefaultParagraphFont"/>
    <w:link w:val="Heading4"/>
    <w:uiPriority w:val="9"/>
    <w:semiHidden/>
    <w:rsid w:val="00AE2E3B"/>
    <w:rPr>
      <w:smallCaps/>
      <w:spacing w:val="10"/>
      <w:sz w:val="22"/>
      <w:szCs w:val="22"/>
    </w:rPr>
  </w:style>
  <w:style w:type="character" w:customStyle="1" w:styleId="Heading5Char">
    <w:name w:val="Heading 5 Char"/>
    <w:basedOn w:val="DefaultParagraphFont"/>
    <w:link w:val="Heading5"/>
    <w:uiPriority w:val="9"/>
    <w:semiHidden/>
    <w:rsid w:val="00AE2E3B"/>
    <w:rPr>
      <w:smallCaps/>
      <w:color w:val="325F64" w:themeColor="accent2" w:themeShade="BF"/>
      <w:spacing w:val="10"/>
      <w:sz w:val="22"/>
      <w:szCs w:val="26"/>
    </w:rPr>
  </w:style>
  <w:style w:type="character" w:customStyle="1" w:styleId="Heading6Char">
    <w:name w:val="Heading 6 Char"/>
    <w:basedOn w:val="DefaultParagraphFont"/>
    <w:link w:val="Heading6"/>
    <w:uiPriority w:val="9"/>
    <w:semiHidden/>
    <w:rsid w:val="00AE2E3B"/>
    <w:rPr>
      <w:smallCaps/>
      <w:color w:val="438086" w:themeColor="accent2"/>
      <w:spacing w:val="5"/>
      <w:sz w:val="22"/>
    </w:rPr>
  </w:style>
  <w:style w:type="character" w:customStyle="1" w:styleId="Heading7Char">
    <w:name w:val="Heading 7 Char"/>
    <w:basedOn w:val="DefaultParagraphFont"/>
    <w:link w:val="Heading7"/>
    <w:uiPriority w:val="9"/>
    <w:semiHidden/>
    <w:rsid w:val="00AE2E3B"/>
    <w:rPr>
      <w:b/>
      <w:smallCaps/>
      <w:color w:val="438086" w:themeColor="accent2"/>
      <w:spacing w:val="10"/>
    </w:rPr>
  </w:style>
  <w:style w:type="character" w:customStyle="1" w:styleId="Heading8Char">
    <w:name w:val="Heading 8 Char"/>
    <w:basedOn w:val="DefaultParagraphFont"/>
    <w:link w:val="Heading8"/>
    <w:uiPriority w:val="9"/>
    <w:semiHidden/>
    <w:rsid w:val="00AE2E3B"/>
    <w:rPr>
      <w:b/>
      <w:i/>
      <w:smallCaps/>
      <w:color w:val="325F64" w:themeColor="accent2" w:themeShade="BF"/>
    </w:rPr>
  </w:style>
  <w:style w:type="character" w:customStyle="1" w:styleId="Heading9Char">
    <w:name w:val="Heading 9 Char"/>
    <w:basedOn w:val="DefaultParagraphFont"/>
    <w:link w:val="Heading9"/>
    <w:uiPriority w:val="9"/>
    <w:semiHidden/>
    <w:rsid w:val="00AE2E3B"/>
    <w:rPr>
      <w:b/>
      <w:i/>
      <w:smallCaps/>
      <w:color w:val="213F42" w:themeColor="accent2" w:themeShade="7F"/>
    </w:rPr>
  </w:style>
  <w:style w:type="paragraph" w:styleId="Caption">
    <w:name w:val="caption"/>
    <w:basedOn w:val="Normal"/>
    <w:next w:val="Normal"/>
    <w:uiPriority w:val="35"/>
    <w:semiHidden/>
    <w:unhideWhenUsed/>
    <w:qFormat/>
    <w:rsid w:val="00AE2E3B"/>
    <w:rPr>
      <w:b/>
      <w:bCs/>
      <w:caps/>
      <w:sz w:val="16"/>
      <w:szCs w:val="18"/>
    </w:rPr>
  </w:style>
  <w:style w:type="paragraph" w:styleId="Title">
    <w:name w:val="Title"/>
    <w:basedOn w:val="Normal"/>
    <w:next w:val="Normal"/>
    <w:link w:val="TitleChar"/>
    <w:uiPriority w:val="10"/>
    <w:qFormat/>
    <w:rsid w:val="00AE2E3B"/>
    <w:pPr>
      <w:pBdr>
        <w:top w:val="single" w:sz="12" w:space="1" w:color="43808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2E3B"/>
    <w:rPr>
      <w:smallCaps/>
      <w:sz w:val="48"/>
      <w:szCs w:val="48"/>
    </w:rPr>
  </w:style>
  <w:style w:type="paragraph" w:styleId="Subtitle">
    <w:name w:val="Subtitle"/>
    <w:basedOn w:val="Normal"/>
    <w:next w:val="Normal"/>
    <w:link w:val="SubtitleChar"/>
    <w:uiPriority w:val="11"/>
    <w:qFormat/>
    <w:rsid w:val="00AE2E3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E2E3B"/>
    <w:rPr>
      <w:rFonts w:asciiTheme="majorHAnsi" w:eastAsiaTheme="majorEastAsia" w:hAnsiTheme="majorHAnsi" w:cstheme="majorBidi"/>
      <w:szCs w:val="22"/>
    </w:rPr>
  </w:style>
  <w:style w:type="character" w:styleId="Strong">
    <w:name w:val="Strong"/>
    <w:uiPriority w:val="22"/>
    <w:qFormat/>
    <w:rsid w:val="00AE2E3B"/>
    <w:rPr>
      <w:b/>
      <w:color w:val="438086" w:themeColor="accent2"/>
    </w:rPr>
  </w:style>
  <w:style w:type="character" w:styleId="Emphasis">
    <w:name w:val="Emphasis"/>
    <w:uiPriority w:val="20"/>
    <w:qFormat/>
    <w:rsid w:val="00AE2E3B"/>
    <w:rPr>
      <w:b/>
      <w:i/>
      <w:spacing w:val="10"/>
    </w:rPr>
  </w:style>
  <w:style w:type="character" w:customStyle="1" w:styleId="NoSpacingChar">
    <w:name w:val="No Spacing Char"/>
    <w:basedOn w:val="DefaultParagraphFont"/>
    <w:link w:val="NoSpacing"/>
    <w:uiPriority w:val="1"/>
    <w:rsid w:val="00DB0240"/>
    <w:rPr>
      <w:rFonts w:ascii="Calibri" w:eastAsia="Calibri" w:hAnsi="Calibri" w:cs="Times New Roman"/>
    </w:rPr>
  </w:style>
  <w:style w:type="paragraph" w:styleId="ListParagraph">
    <w:name w:val="List Paragraph"/>
    <w:basedOn w:val="Normal"/>
    <w:uiPriority w:val="34"/>
    <w:qFormat/>
    <w:rsid w:val="00AE2E3B"/>
    <w:pPr>
      <w:ind w:left="720"/>
      <w:contextualSpacing/>
    </w:pPr>
  </w:style>
  <w:style w:type="paragraph" w:styleId="Quote">
    <w:name w:val="Quote"/>
    <w:basedOn w:val="Normal"/>
    <w:next w:val="Normal"/>
    <w:link w:val="QuoteChar"/>
    <w:uiPriority w:val="29"/>
    <w:qFormat/>
    <w:rsid w:val="00AE2E3B"/>
    <w:rPr>
      <w:i/>
    </w:rPr>
  </w:style>
  <w:style w:type="character" w:customStyle="1" w:styleId="QuoteChar">
    <w:name w:val="Quote Char"/>
    <w:basedOn w:val="DefaultParagraphFont"/>
    <w:link w:val="Quote"/>
    <w:uiPriority w:val="29"/>
    <w:rsid w:val="00AE2E3B"/>
    <w:rPr>
      <w:i/>
    </w:rPr>
  </w:style>
  <w:style w:type="paragraph" w:styleId="IntenseQuote">
    <w:name w:val="Intense Quote"/>
    <w:basedOn w:val="Normal"/>
    <w:next w:val="Normal"/>
    <w:link w:val="IntenseQuoteChar"/>
    <w:uiPriority w:val="30"/>
    <w:qFormat/>
    <w:rsid w:val="00AE2E3B"/>
    <w:pPr>
      <w:pBdr>
        <w:top w:val="single" w:sz="8" w:space="10" w:color="325F64" w:themeColor="accent2" w:themeShade="BF"/>
        <w:left w:val="single" w:sz="8" w:space="10" w:color="325F64" w:themeColor="accent2" w:themeShade="BF"/>
        <w:bottom w:val="single" w:sz="8" w:space="10" w:color="325F64" w:themeColor="accent2" w:themeShade="BF"/>
        <w:right w:val="single" w:sz="8" w:space="10" w:color="325F64" w:themeColor="accent2" w:themeShade="BF"/>
      </w:pBdr>
      <w:shd w:val="clear" w:color="auto" w:fill="43808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2E3B"/>
    <w:rPr>
      <w:b/>
      <w:i/>
      <w:color w:val="FFFFFF" w:themeColor="background1"/>
      <w:shd w:val="clear" w:color="auto" w:fill="438086" w:themeFill="accent2"/>
    </w:rPr>
  </w:style>
  <w:style w:type="character" w:styleId="SubtleEmphasis">
    <w:name w:val="Subtle Emphasis"/>
    <w:uiPriority w:val="19"/>
    <w:qFormat/>
    <w:rsid w:val="00AE2E3B"/>
    <w:rPr>
      <w:i/>
    </w:rPr>
  </w:style>
  <w:style w:type="character" w:styleId="IntenseEmphasis">
    <w:name w:val="Intense Emphasis"/>
    <w:uiPriority w:val="21"/>
    <w:qFormat/>
    <w:rsid w:val="00AE2E3B"/>
    <w:rPr>
      <w:b/>
      <w:i/>
      <w:color w:val="438086" w:themeColor="accent2"/>
      <w:spacing w:val="10"/>
    </w:rPr>
  </w:style>
  <w:style w:type="character" w:styleId="SubtleReference">
    <w:name w:val="Subtle Reference"/>
    <w:uiPriority w:val="31"/>
    <w:qFormat/>
    <w:rsid w:val="00AE2E3B"/>
    <w:rPr>
      <w:b/>
    </w:rPr>
  </w:style>
  <w:style w:type="character" w:styleId="IntenseReference">
    <w:name w:val="Intense Reference"/>
    <w:uiPriority w:val="32"/>
    <w:qFormat/>
    <w:rsid w:val="00AE2E3B"/>
    <w:rPr>
      <w:b/>
      <w:bCs/>
      <w:smallCaps/>
      <w:spacing w:val="5"/>
      <w:sz w:val="22"/>
      <w:szCs w:val="22"/>
      <w:u w:val="single"/>
    </w:rPr>
  </w:style>
  <w:style w:type="character" w:styleId="BookTitle">
    <w:name w:val="Book Title"/>
    <w:uiPriority w:val="33"/>
    <w:qFormat/>
    <w:rsid w:val="00AE2E3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2E3B"/>
    <w:pPr>
      <w:outlineLvl w:val="9"/>
    </w:pPr>
    <w:rPr>
      <w:lang w:bidi="en-US"/>
    </w:rPr>
  </w:style>
  <w:style w:type="paragraph" w:styleId="Header">
    <w:name w:val="header"/>
    <w:basedOn w:val="Normal"/>
    <w:link w:val="HeaderChar"/>
    <w:uiPriority w:val="99"/>
    <w:unhideWhenUsed/>
    <w:rsid w:val="00AE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3B"/>
  </w:style>
  <w:style w:type="paragraph" w:styleId="Footer">
    <w:name w:val="footer"/>
    <w:basedOn w:val="Normal"/>
    <w:link w:val="FooterChar"/>
    <w:uiPriority w:val="99"/>
    <w:unhideWhenUsed/>
    <w:rsid w:val="00AE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3B"/>
  </w:style>
  <w:style w:type="paragraph" w:styleId="BalloonText">
    <w:name w:val="Balloon Text"/>
    <w:basedOn w:val="Normal"/>
    <w:link w:val="BalloonTextChar"/>
    <w:uiPriority w:val="99"/>
    <w:semiHidden/>
    <w:unhideWhenUsed/>
    <w:rsid w:val="00AE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3B"/>
    <w:rPr>
      <w:rFonts w:ascii="Tahoma" w:hAnsi="Tahoma" w:cs="Tahoma"/>
      <w:sz w:val="16"/>
      <w:szCs w:val="16"/>
    </w:rPr>
  </w:style>
  <w:style w:type="paragraph" w:customStyle="1" w:styleId="IndentedList">
    <w:name w:val="Indented List"/>
    <w:basedOn w:val="Normal"/>
    <w:link w:val="IndentedListChar"/>
    <w:qFormat/>
    <w:rsid w:val="009075B9"/>
    <w:pPr>
      <w:spacing w:after="120"/>
      <w:ind w:left="720"/>
      <w:contextualSpacing/>
    </w:pPr>
    <w:rPr>
      <w:rFonts w:ascii="Calibri" w:eastAsia="Times New Roman" w:hAnsi="Calibri" w:cs="Times New Roman"/>
    </w:rPr>
  </w:style>
  <w:style w:type="character" w:customStyle="1" w:styleId="IndentedListChar">
    <w:name w:val="Indented List Char"/>
    <w:link w:val="IndentedList"/>
    <w:rsid w:val="009075B9"/>
    <w:rPr>
      <w:rFonts w:ascii="Calibri" w:eastAsia="Times New Roman" w:hAnsi="Calibri" w:cs="Times New Roman"/>
      <w:sz w:val="22"/>
      <w:szCs w:val="22"/>
    </w:rPr>
  </w:style>
  <w:style w:type="table" w:styleId="TableGrid">
    <w:name w:val="Table Grid"/>
    <w:basedOn w:val="TableNormal"/>
    <w:uiPriority w:val="59"/>
    <w:rsid w:val="00B4000C"/>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B4000C"/>
    <w:pPr>
      <w:autoSpaceDE w:val="0"/>
      <w:autoSpaceDN w:val="0"/>
      <w:adjustRightInd w:val="0"/>
      <w:spacing w:after="0" w:line="240" w:lineRule="auto"/>
      <w:ind w:left="720"/>
      <w:jc w:val="left"/>
    </w:pPr>
    <w:rPr>
      <w:rFonts w:ascii="Times New Roman" w:eastAsia="Times New Roman" w:hAnsi="Times New Roman" w:cs="Times New Roman"/>
      <w:sz w:val="24"/>
      <w:szCs w:val="24"/>
    </w:rPr>
  </w:style>
  <w:style w:type="paragraph" w:styleId="NormalWeb">
    <w:name w:val="Normal (Web)"/>
    <w:basedOn w:val="Normal"/>
    <w:uiPriority w:val="99"/>
    <w:rsid w:val="009A4106"/>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odyText">
    <w:name w:val="Body Text"/>
    <w:basedOn w:val="Normal"/>
    <w:link w:val="BodyTextChar"/>
    <w:semiHidden/>
    <w:rsid w:val="00761D84"/>
    <w:pPr>
      <w:spacing w:before="100" w:beforeAutospacing="1" w:after="100" w:afterAutospacing="1" w:line="240" w:lineRule="auto"/>
      <w:jc w:val="left"/>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761D84"/>
    <w:rPr>
      <w:rFonts w:ascii="Arial" w:eastAsia="Times New Roman" w:hAnsi="Arial" w:cs="Times New Roman"/>
    </w:rPr>
  </w:style>
  <w:style w:type="paragraph" w:customStyle="1" w:styleId="Default">
    <w:name w:val="Default"/>
    <w:rsid w:val="00761D84"/>
    <w:pPr>
      <w:autoSpaceDE w:val="0"/>
      <w:autoSpaceDN w:val="0"/>
      <w:adjustRightInd w:val="0"/>
      <w:spacing w:after="0" w:line="240" w:lineRule="auto"/>
      <w:jc w:val="left"/>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5C39D9"/>
    <w:rPr>
      <w:color w:val="C2A874" w:themeColor="followedHyperlink"/>
      <w:u w:val="single"/>
    </w:rPr>
  </w:style>
  <w:style w:type="character" w:customStyle="1" w:styleId="il">
    <w:name w:val="il"/>
    <w:basedOn w:val="DefaultParagraphFont"/>
    <w:rsid w:val="00A45953"/>
  </w:style>
  <w:style w:type="character" w:styleId="CommentReference">
    <w:name w:val="annotation reference"/>
    <w:basedOn w:val="DefaultParagraphFont"/>
    <w:uiPriority w:val="99"/>
    <w:semiHidden/>
    <w:unhideWhenUsed/>
    <w:rsid w:val="002716D3"/>
    <w:rPr>
      <w:sz w:val="16"/>
      <w:szCs w:val="16"/>
    </w:rPr>
  </w:style>
  <w:style w:type="paragraph" w:styleId="CommentText">
    <w:name w:val="annotation text"/>
    <w:basedOn w:val="Normal"/>
    <w:link w:val="CommentTextChar"/>
    <w:uiPriority w:val="99"/>
    <w:semiHidden/>
    <w:unhideWhenUsed/>
    <w:rsid w:val="002716D3"/>
    <w:pPr>
      <w:spacing w:line="240" w:lineRule="auto"/>
    </w:pPr>
    <w:rPr>
      <w:sz w:val="20"/>
      <w:szCs w:val="20"/>
    </w:rPr>
  </w:style>
  <w:style w:type="character" w:customStyle="1" w:styleId="CommentTextChar">
    <w:name w:val="Comment Text Char"/>
    <w:basedOn w:val="DefaultParagraphFont"/>
    <w:link w:val="CommentText"/>
    <w:uiPriority w:val="99"/>
    <w:semiHidden/>
    <w:rsid w:val="002716D3"/>
  </w:style>
  <w:style w:type="paragraph" w:styleId="CommentSubject">
    <w:name w:val="annotation subject"/>
    <w:basedOn w:val="CommentText"/>
    <w:next w:val="CommentText"/>
    <w:link w:val="CommentSubjectChar"/>
    <w:uiPriority w:val="99"/>
    <w:semiHidden/>
    <w:unhideWhenUsed/>
    <w:rsid w:val="002716D3"/>
    <w:rPr>
      <w:b/>
      <w:bCs/>
    </w:rPr>
  </w:style>
  <w:style w:type="character" w:customStyle="1" w:styleId="CommentSubjectChar">
    <w:name w:val="Comment Subject Char"/>
    <w:basedOn w:val="CommentTextChar"/>
    <w:link w:val="CommentSubject"/>
    <w:uiPriority w:val="99"/>
    <w:semiHidden/>
    <w:rsid w:val="002716D3"/>
    <w:rPr>
      <w:b/>
      <w:bCs/>
    </w:rPr>
  </w:style>
  <w:style w:type="paragraph" w:styleId="BodyTextIndent">
    <w:name w:val="Body Text Indent"/>
    <w:basedOn w:val="Normal"/>
    <w:link w:val="BodyTextIndentChar"/>
    <w:uiPriority w:val="99"/>
    <w:semiHidden/>
    <w:unhideWhenUsed/>
    <w:rsid w:val="00665B51"/>
    <w:pPr>
      <w:spacing w:after="120"/>
      <w:ind w:left="360"/>
    </w:pPr>
  </w:style>
  <w:style w:type="character" w:customStyle="1" w:styleId="BodyTextIndentChar">
    <w:name w:val="Body Text Indent Char"/>
    <w:basedOn w:val="DefaultParagraphFont"/>
    <w:link w:val="BodyTextIndent"/>
    <w:uiPriority w:val="99"/>
    <w:semiHidden/>
    <w:rsid w:val="00665B51"/>
    <w:rPr>
      <w:sz w:val="22"/>
      <w:szCs w:val="22"/>
    </w:rPr>
  </w:style>
  <w:style w:type="character" w:styleId="PageNumber">
    <w:name w:val="page number"/>
    <w:basedOn w:val="DefaultParagraphFont"/>
    <w:uiPriority w:val="99"/>
    <w:semiHidden/>
    <w:unhideWhenUsed/>
    <w:rsid w:val="00AC291E"/>
  </w:style>
  <w:style w:type="character" w:styleId="UnresolvedMention">
    <w:name w:val="Unresolved Mention"/>
    <w:basedOn w:val="DefaultParagraphFont"/>
    <w:uiPriority w:val="99"/>
    <w:rsid w:val="0006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061">
      <w:bodyDiv w:val="1"/>
      <w:marLeft w:val="0"/>
      <w:marRight w:val="0"/>
      <w:marTop w:val="0"/>
      <w:marBottom w:val="0"/>
      <w:divBdr>
        <w:top w:val="none" w:sz="0" w:space="0" w:color="auto"/>
        <w:left w:val="none" w:sz="0" w:space="0" w:color="auto"/>
        <w:bottom w:val="none" w:sz="0" w:space="0" w:color="auto"/>
        <w:right w:val="none" w:sz="0" w:space="0" w:color="auto"/>
      </w:divBdr>
    </w:div>
    <w:div w:id="127094410">
      <w:bodyDiv w:val="1"/>
      <w:marLeft w:val="0"/>
      <w:marRight w:val="0"/>
      <w:marTop w:val="0"/>
      <w:marBottom w:val="0"/>
      <w:divBdr>
        <w:top w:val="none" w:sz="0" w:space="0" w:color="auto"/>
        <w:left w:val="none" w:sz="0" w:space="0" w:color="auto"/>
        <w:bottom w:val="none" w:sz="0" w:space="0" w:color="auto"/>
        <w:right w:val="none" w:sz="0" w:space="0" w:color="auto"/>
      </w:divBdr>
    </w:div>
    <w:div w:id="145320628">
      <w:bodyDiv w:val="1"/>
      <w:marLeft w:val="0"/>
      <w:marRight w:val="0"/>
      <w:marTop w:val="0"/>
      <w:marBottom w:val="0"/>
      <w:divBdr>
        <w:top w:val="none" w:sz="0" w:space="0" w:color="auto"/>
        <w:left w:val="none" w:sz="0" w:space="0" w:color="auto"/>
        <w:bottom w:val="none" w:sz="0" w:space="0" w:color="auto"/>
        <w:right w:val="none" w:sz="0" w:space="0" w:color="auto"/>
      </w:divBdr>
    </w:div>
    <w:div w:id="333806159">
      <w:bodyDiv w:val="1"/>
      <w:marLeft w:val="0"/>
      <w:marRight w:val="0"/>
      <w:marTop w:val="0"/>
      <w:marBottom w:val="0"/>
      <w:divBdr>
        <w:top w:val="none" w:sz="0" w:space="0" w:color="auto"/>
        <w:left w:val="none" w:sz="0" w:space="0" w:color="auto"/>
        <w:bottom w:val="none" w:sz="0" w:space="0" w:color="auto"/>
        <w:right w:val="none" w:sz="0" w:space="0" w:color="auto"/>
      </w:divBdr>
    </w:div>
    <w:div w:id="458300961">
      <w:bodyDiv w:val="1"/>
      <w:marLeft w:val="0"/>
      <w:marRight w:val="0"/>
      <w:marTop w:val="0"/>
      <w:marBottom w:val="0"/>
      <w:divBdr>
        <w:top w:val="none" w:sz="0" w:space="0" w:color="auto"/>
        <w:left w:val="none" w:sz="0" w:space="0" w:color="auto"/>
        <w:bottom w:val="none" w:sz="0" w:space="0" w:color="auto"/>
        <w:right w:val="none" w:sz="0" w:space="0" w:color="auto"/>
      </w:divBdr>
      <w:divsChild>
        <w:div w:id="256527173">
          <w:marLeft w:val="0"/>
          <w:marRight w:val="0"/>
          <w:marTop w:val="0"/>
          <w:marBottom w:val="0"/>
          <w:divBdr>
            <w:top w:val="none" w:sz="0" w:space="0" w:color="auto"/>
            <w:left w:val="none" w:sz="0" w:space="0" w:color="auto"/>
            <w:bottom w:val="none" w:sz="0" w:space="0" w:color="auto"/>
            <w:right w:val="none" w:sz="0" w:space="0" w:color="auto"/>
          </w:divBdr>
          <w:divsChild>
            <w:div w:id="348873839">
              <w:marLeft w:val="0"/>
              <w:marRight w:val="0"/>
              <w:marTop w:val="0"/>
              <w:marBottom w:val="0"/>
              <w:divBdr>
                <w:top w:val="none" w:sz="0" w:space="0" w:color="auto"/>
                <w:left w:val="none" w:sz="0" w:space="0" w:color="auto"/>
                <w:bottom w:val="none" w:sz="0" w:space="0" w:color="auto"/>
                <w:right w:val="none" w:sz="0" w:space="0" w:color="auto"/>
              </w:divBdr>
            </w:div>
          </w:divsChild>
        </w:div>
        <w:div w:id="267738026">
          <w:marLeft w:val="600"/>
          <w:marRight w:val="0"/>
          <w:marTop w:val="0"/>
          <w:marBottom w:val="0"/>
          <w:divBdr>
            <w:top w:val="none" w:sz="0" w:space="0" w:color="auto"/>
            <w:left w:val="none" w:sz="0" w:space="0" w:color="auto"/>
            <w:bottom w:val="none" w:sz="0" w:space="0" w:color="auto"/>
            <w:right w:val="none" w:sz="0" w:space="0" w:color="auto"/>
          </w:divBdr>
        </w:div>
      </w:divsChild>
    </w:div>
    <w:div w:id="525872700">
      <w:bodyDiv w:val="1"/>
      <w:marLeft w:val="0"/>
      <w:marRight w:val="0"/>
      <w:marTop w:val="0"/>
      <w:marBottom w:val="0"/>
      <w:divBdr>
        <w:top w:val="none" w:sz="0" w:space="0" w:color="auto"/>
        <w:left w:val="none" w:sz="0" w:space="0" w:color="auto"/>
        <w:bottom w:val="none" w:sz="0" w:space="0" w:color="auto"/>
        <w:right w:val="none" w:sz="0" w:space="0" w:color="auto"/>
      </w:divBdr>
    </w:div>
    <w:div w:id="535626582">
      <w:bodyDiv w:val="1"/>
      <w:marLeft w:val="0"/>
      <w:marRight w:val="0"/>
      <w:marTop w:val="0"/>
      <w:marBottom w:val="0"/>
      <w:divBdr>
        <w:top w:val="none" w:sz="0" w:space="0" w:color="auto"/>
        <w:left w:val="none" w:sz="0" w:space="0" w:color="auto"/>
        <w:bottom w:val="none" w:sz="0" w:space="0" w:color="auto"/>
        <w:right w:val="none" w:sz="0" w:space="0" w:color="auto"/>
      </w:divBdr>
    </w:div>
    <w:div w:id="672873385">
      <w:bodyDiv w:val="1"/>
      <w:marLeft w:val="0"/>
      <w:marRight w:val="0"/>
      <w:marTop w:val="0"/>
      <w:marBottom w:val="0"/>
      <w:divBdr>
        <w:top w:val="none" w:sz="0" w:space="0" w:color="auto"/>
        <w:left w:val="none" w:sz="0" w:space="0" w:color="auto"/>
        <w:bottom w:val="none" w:sz="0" w:space="0" w:color="auto"/>
        <w:right w:val="none" w:sz="0" w:space="0" w:color="auto"/>
      </w:divBdr>
    </w:div>
    <w:div w:id="984243860">
      <w:bodyDiv w:val="1"/>
      <w:marLeft w:val="0"/>
      <w:marRight w:val="0"/>
      <w:marTop w:val="0"/>
      <w:marBottom w:val="0"/>
      <w:divBdr>
        <w:top w:val="none" w:sz="0" w:space="0" w:color="auto"/>
        <w:left w:val="none" w:sz="0" w:space="0" w:color="auto"/>
        <w:bottom w:val="none" w:sz="0" w:space="0" w:color="auto"/>
        <w:right w:val="none" w:sz="0" w:space="0" w:color="auto"/>
      </w:divBdr>
    </w:div>
    <w:div w:id="999651289">
      <w:bodyDiv w:val="1"/>
      <w:marLeft w:val="0"/>
      <w:marRight w:val="0"/>
      <w:marTop w:val="0"/>
      <w:marBottom w:val="0"/>
      <w:divBdr>
        <w:top w:val="none" w:sz="0" w:space="0" w:color="auto"/>
        <w:left w:val="none" w:sz="0" w:space="0" w:color="auto"/>
        <w:bottom w:val="none" w:sz="0" w:space="0" w:color="auto"/>
        <w:right w:val="none" w:sz="0" w:space="0" w:color="auto"/>
      </w:divBdr>
    </w:div>
    <w:div w:id="1069301319">
      <w:bodyDiv w:val="1"/>
      <w:marLeft w:val="0"/>
      <w:marRight w:val="0"/>
      <w:marTop w:val="0"/>
      <w:marBottom w:val="0"/>
      <w:divBdr>
        <w:top w:val="none" w:sz="0" w:space="0" w:color="auto"/>
        <w:left w:val="none" w:sz="0" w:space="0" w:color="auto"/>
        <w:bottom w:val="none" w:sz="0" w:space="0" w:color="auto"/>
        <w:right w:val="none" w:sz="0" w:space="0" w:color="auto"/>
      </w:divBdr>
    </w:div>
    <w:div w:id="1196701291">
      <w:bodyDiv w:val="1"/>
      <w:marLeft w:val="0"/>
      <w:marRight w:val="0"/>
      <w:marTop w:val="0"/>
      <w:marBottom w:val="0"/>
      <w:divBdr>
        <w:top w:val="none" w:sz="0" w:space="0" w:color="auto"/>
        <w:left w:val="none" w:sz="0" w:space="0" w:color="auto"/>
        <w:bottom w:val="none" w:sz="0" w:space="0" w:color="auto"/>
        <w:right w:val="none" w:sz="0" w:space="0" w:color="auto"/>
      </w:divBdr>
    </w:div>
    <w:div w:id="1293444618">
      <w:bodyDiv w:val="1"/>
      <w:marLeft w:val="0"/>
      <w:marRight w:val="0"/>
      <w:marTop w:val="0"/>
      <w:marBottom w:val="0"/>
      <w:divBdr>
        <w:top w:val="none" w:sz="0" w:space="0" w:color="auto"/>
        <w:left w:val="none" w:sz="0" w:space="0" w:color="auto"/>
        <w:bottom w:val="none" w:sz="0" w:space="0" w:color="auto"/>
        <w:right w:val="none" w:sz="0" w:space="0" w:color="auto"/>
      </w:divBdr>
      <w:divsChild>
        <w:div w:id="1048801039">
          <w:marLeft w:val="0"/>
          <w:marRight w:val="0"/>
          <w:marTop w:val="0"/>
          <w:marBottom w:val="525"/>
          <w:divBdr>
            <w:top w:val="none" w:sz="0" w:space="0" w:color="auto"/>
            <w:left w:val="none" w:sz="0" w:space="0" w:color="auto"/>
            <w:bottom w:val="none" w:sz="0" w:space="0" w:color="auto"/>
            <w:right w:val="none" w:sz="0" w:space="0" w:color="auto"/>
          </w:divBdr>
          <w:divsChild>
            <w:div w:id="960265033">
              <w:marLeft w:val="0"/>
              <w:marRight w:val="0"/>
              <w:marTop w:val="0"/>
              <w:marBottom w:val="0"/>
              <w:divBdr>
                <w:top w:val="none" w:sz="0" w:space="0" w:color="auto"/>
                <w:left w:val="none" w:sz="0" w:space="0" w:color="auto"/>
                <w:bottom w:val="none" w:sz="0" w:space="0" w:color="auto"/>
                <w:right w:val="none" w:sz="0" w:space="0" w:color="auto"/>
              </w:divBdr>
            </w:div>
          </w:divsChild>
        </w:div>
        <w:div w:id="739448779">
          <w:marLeft w:val="0"/>
          <w:marRight w:val="0"/>
          <w:marTop w:val="0"/>
          <w:marBottom w:val="525"/>
          <w:divBdr>
            <w:top w:val="none" w:sz="0" w:space="0" w:color="auto"/>
            <w:left w:val="none" w:sz="0" w:space="0" w:color="auto"/>
            <w:bottom w:val="none" w:sz="0" w:space="0" w:color="auto"/>
            <w:right w:val="none" w:sz="0" w:space="0" w:color="auto"/>
          </w:divBdr>
          <w:divsChild>
            <w:div w:id="1996645334">
              <w:marLeft w:val="0"/>
              <w:marRight w:val="0"/>
              <w:marTop w:val="0"/>
              <w:marBottom w:val="0"/>
              <w:divBdr>
                <w:top w:val="none" w:sz="0" w:space="0" w:color="auto"/>
                <w:left w:val="none" w:sz="0" w:space="0" w:color="auto"/>
                <w:bottom w:val="none" w:sz="0" w:space="0" w:color="auto"/>
                <w:right w:val="none" w:sz="0" w:space="0" w:color="auto"/>
              </w:divBdr>
              <w:divsChild>
                <w:div w:id="8989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198">
      <w:bodyDiv w:val="1"/>
      <w:marLeft w:val="0"/>
      <w:marRight w:val="0"/>
      <w:marTop w:val="0"/>
      <w:marBottom w:val="0"/>
      <w:divBdr>
        <w:top w:val="none" w:sz="0" w:space="0" w:color="auto"/>
        <w:left w:val="none" w:sz="0" w:space="0" w:color="auto"/>
        <w:bottom w:val="none" w:sz="0" w:space="0" w:color="auto"/>
        <w:right w:val="none" w:sz="0" w:space="0" w:color="auto"/>
      </w:divBdr>
    </w:div>
    <w:div w:id="1497262615">
      <w:bodyDiv w:val="1"/>
      <w:marLeft w:val="0"/>
      <w:marRight w:val="0"/>
      <w:marTop w:val="0"/>
      <w:marBottom w:val="0"/>
      <w:divBdr>
        <w:top w:val="none" w:sz="0" w:space="0" w:color="auto"/>
        <w:left w:val="none" w:sz="0" w:space="0" w:color="auto"/>
        <w:bottom w:val="none" w:sz="0" w:space="0" w:color="auto"/>
        <w:right w:val="none" w:sz="0" w:space="0" w:color="auto"/>
      </w:divBdr>
    </w:div>
    <w:div w:id="1737630106">
      <w:bodyDiv w:val="1"/>
      <w:marLeft w:val="0"/>
      <w:marRight w:val="0"/>
      <w:marTop w:val="0"/>
      <w:marBottom w:val="0"/>
      <w:divBdr>
        <w:top w:val="none" w:sz="0" w:space="0" w:color="auto"/>
        <w:left w:val="none" w:sz="0" w:space="0" w:color="auto"/>
        <w:bottom w:val="none" w:sz="0" w:space="0" w:color="auto"/>
        <w:right w:val="none" w:sz="0" w:space="0" w:color="auto"/>
      </w:divBdr>
    </w:div>
    <w:div w:id="1807502339">
      <w:bodyDiv w:val="1"/>
      <w:marLeft w:val="0"/>
      <w:marRight w:val="0"/>
      <w:marTop w:val="0"/>
      <w:marBottom w:val="0"/>
      <w:divBdr>
        <w:top w:val="none" w:sz="0" w:space="0" w:color="auto"/>
        <w:left w:val="none" w:sz="0" w:space="0" w:color="auto"/>
        <w:bottom w:val="none" w:sz="0" w:space="0" w:color="auto"/>
        <w:right w:val="none" w:sz="0" w:space="0" w:color="auto"/>
      </w:divBdr>
    </w:div>
    <w:div w:id="2132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colostate.edu/general-catalog/all-university-core-curriculum/aucc/" TargetMode="External"/><Relationship Id="rId18" Type="http://schemas.openxmlformats.org/officeDocument/2006/relationships/hyperlink" Target="http://www.learn.colostate.edu/help/creditstudents/registration/drop-policy.dot" TargetMode="External"/><Relationship Id="rId26" Type="http://schemas.openxmlformats.org/officeDocument/2006/relationships/hyperlink" Target="https://disabilitycenter.colostate.edu/" TargetMode="External"/><Relationship Id="rId39" Type="http://schemas.openxmlformats.org/officeDocument/2006/relationships/hyperlink" Target="https://www.acns.colostate.edu/software-downloads/" TargetMode="External"/><Relationship Id="rId21" Type="http://schemas.openxmlformats.org/officeDocument/2006/relationships/hyperlink" Target="http://www.conflictresolution.colostate.edu/conduct-code" TargetMode="External"/><Relationship Id="rId34" Type="http://schemas.openxmlformats.org/officeDocument/2006/relationships/hyperlink" Target="https://www.acns.colostate.edu/media/sites/100/2016/08/Student-Software-Standards.pdf"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vid.colostate.edu/reporter/" TargetMode="External"/><Relationship Id="rId29" Type="http://schemas.openxmlformats.org/officeDocument/2006/relationships/hyperlink" Target="https://wgac.colostate.edu/involvement/victim-assistance-team-volunt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details/books/principles-microeconomics-2e" TargetMode="External"/><Relationship Id="rId24" Type="http://schemas.openxmlformats.org/officeDocument/2006/relationships/hyperlink" Target="https://supportandsafety.colostate.edu/tell-someone/" TargetMode="External"/><Relationship Id="rId32" Type="http://schemas.openxmlformats.org/officeDocument/2006/relationships/hyperlink" Target="https://lib.colostate.edu/services/borrow-renew/device-checkout/" TargetMode="External"/><Relationship Id="rId37" Type="http://schemas.openxmlformats.org/officeDocument/2006/relationships/hyperlink" Target="https://nam01.safelinks.protection.outlook.com/?url=https%3A%2F%2Fget.adobe.com%2Freader%2F&amp;data=02%7C01%7CJo.Barbier%40colostate.edu%7C797b0b34b72e423b22f008d83edd0585%7Cafb58802ff7a4bb1ab21367ff2ecfc8b%7C0%7C1%7C637328466304958545&amp;sdata=ijW5fpcvWVoD9nMNCcykBjY8b6jeAheaM6OWyuXPZoQ%3D&amp;reserved=0" TargetMode="External"/><Relationship Id="rId40" Type="http://schemas.openxmlformats.org/officeDocument/2006/relationships/hyperlink" Target="http://www.health.colostate.ed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arlyperformance.colostate.edu/" TargetMode="External"/><Relationship Id="rId23" Type="http://schemas.openxmlformats.org/officeDocument/2006/relationships/hyperlink" Target="https://cdi.colostate.edu/mission-vision/" TargetMode="External"/><Relationship Id="rId28" Type="http://schemas.openxmlformats.org/officeDocument/2006/relationships/hyperlink" Target="https://undocumented.colostate.edu/" TargetMode="External"/><Relationship Id="rId36" Type="http://schemas.openxmlformats.org/officeDocument/2006/relationships/hyperlink" Target="https://nam01.safelinks.protection.outlook.com/?url=https%3A%2F%2Fwww.google.com%2Fchrome%2F&amp;data=02%7C01%7CJo.Barbier%40colostate.edu%7C797b0b34b72e423b22f008d83edd0585%7Cafb58802ff7a4bb1ab21367ff2ecfc8b%7C0%7C1%7C637328466304948549&amp;sdata=V6dCcoLKjw9sCguCrDeuUm9xSsospe0gbO%2FILutv4XY%3D&amp;reserved=0" TargetMode="External"/><Relationship Id="rId10" Type="http://schemas.openxmlformats.org/officeDocument/2006/relationships/hyperlink" Target="http://info.canvas.colostate.edu" TargetMode="External"/><Relationship Id="rId19" Type="http://schemas.openxmlformats.org/officeDocument/2006/relationships/hyperlink" Target="http://writing.colostate.edu/guides/researchsources/understandingplagiarism" TargetMode="External"/><Relationship Id="rId31" Type="http://schemas.openxmlformats.org/officeDocument/2006/relationships/hyperlink" Target="http://info.canvas.colostate.edu/student-resources.asp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am10.safelinks.protection.outlook.com/?url=https%3A%2F%2Fzoom.us%2Fj%2F98464287105%3Fpwd%3DdnlucXhtYXFaUlVuV3I5cFE5YXBuZz09&amp;data=04%7C01%7CNes.Io%40colostate.edu%7C6e4ae9d26102497b52cc08d9d6182610%7Cafb58802ff7a4bb1ab21367ff2ecfc8b%7C0%7C0%7C637776221464503957%7CUnknown%7CTWFpbGZsb3d8eyJWIjoiMC4wLjAwMDAiLCJQIjoiV2luMzIiLCJBTiI6Ik1haWwiLCJXVCI6Mn0%3D%7C3000&amp;sdata=wSWqVj73o6REdC%2BY%2FsNoOZBhnlhKJ%2F3oo494nZ8DW2Q%3D&amp;reserved=0" TargetMode="External"/><Relationship Id="rId14" Type="http://schemas.openxmlformats.org/officeDocument/2006/relationships/hyperlink" Target="http://highered.colorado.gov/academics/transfers/gtpathways/curriculum.html" TargetMode="External"/><Relationship Id="rId22" Type="http://schemas.openxmlformats.org/officeDocument/2006/relationships/hyperlink" Target="https://inclusiveexcellence.colostate.edu/resources/principles-of-community/" TargetMode="External"/><Relationship Id="rId27" Type="http://schemas.openxmlformats.org/officeDocument/2006/relationships/hyperlink" Target="https://studentaffairs.colostate.edu/resources/resources-faculty-staff/administrative-information/religious-holidays/" TargetMode="External"/><Relationship Id="rId30" Type="http://schemas.openxmlformats.org/officeDocument/2006/relationships/hyperlink" Target="https://tilt.colostate.edu/Undergrad" TargetMode="External"/><Relationship Id="rId35" Type="http://schemas.openxmlformats.org/officeDocument/2006/relationships/hyperlink" Target="https://nam01.safelinks.protection.outlook.com/?url=https%3A%2F%2Fwww.mozilla.org%2Fen-US%2Ffirefox%2Fnew%2F&amp;data=02%7C01%7CJo.Barbier%40colostate.edu%7C797b0b34b72e423b22f008d83edd0585%7Cafb58802ff7a4bb1ab21367ff2ecfc8b%7C0%7C1%7C637328466304948549&amp;sdata=0C0xW6cE2hv0vB3KP34tFsnANu5sbgw0OAJyqMPshqg%3D&amp;reserved=0"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kenese@colostate.edu" TargetMode="External"/><Relationship Id="rId3" Type="http://schemas.openxmlformats.org/officeDocument/2006/relationships/styles" Target="styles.xml"/><Relationship Id="rId12" Type="http://schemas.openxmlformats.org/officeDocument/2006/relationships/hyperlink" Target="https://www.core-econ.org/the-economy/book/text/0-3-contents.html" TargetMode="External"/><Relationship Id="rId17" Type="http://schemas.openxmlformats.org/officeDocument/2006/relationships/hyperlink" Target="https://covid.colostate.edu/" TargetMode="External"/><Relationship Id="rId25" Type="http://schemas.openxmlformats.org/officeDocument/2006/relationships/hyperlink" Target="https://disabilitycenter.colostate.edu/policies-and-procedures/virtual-access/" TargetMode="External"/><Relationship Id="rId33" Type="http://schemas.openxmlformats.org/officeDocument/2006/relationships/hyperlink" Target="https://www.acns.colostate.edu/media/sites/100/2016/08/Student-Software-Standards.pdf" TargetMode="External"/><Relationship Id="rId38" Type="http://schemas.openxmlformats.org/officeDocument/2006/relationships/hyperlink" Target="https://nam01.safelinks.protection.outlook.com/?url=https%3A%2F%2Fget.adobe.com%2Fflashplayer%2F&amp;data=02%7C01%7CJo.Barbier%40colostate.edu%7C797b0b34b72e423b22f008d83edd0585%7Cafb58802ff7a4bb1ab21367ff2ecfc8b%7C0%7C1%7C637328466304958545&amp;sdata=bgUlB5MeGx36y21zJuwLTT7rYFtdLtSlqEOGhpk%2Bxmc%3D&amp;reserved=0" TargetMode="External"/><Relationship Id="rId46" Type="http://schemas.openxmlformats.org/officeDocument/2006/relationships/footer" Target="footer3.xml"/><Relationship Id="rId20" Type="http://schemas.openxmlformats.org/officeDocument/2006/relationships/hyperlink" Target="http://www.catalog.colostate.edu/" TargetMode="External"/><Relationship Id="rId41" Type="http://schemas.openxmlformats.org/officeDocument/2006/relationships/hyperlink" Target="https://wgac.colostate.edu/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C61F-B10B-0A4D-87CC-87060D73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Kenese Io</cp:lastModifiedBy>
  <cp:revision>4</cp:revision>
  <cp:lastPrinted>2019-08-26T18:06:00Z</cp:lastPrinted>
  <dcterms:created xsi:type="dcterms:W3CDTF">2022-01-18T03:16:00Z</dcterms:created>
  <dcterms:modified xsi:type="dcterms:W3CDTF">2022-01-18T03:18:00Z</dcterms:modified>
</cp:coreProperties>
</file>